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5071F" w:rsidRDefault="0055071F" w:rsidP="0055071F">
      <w:pPr>
        <w:tabs>
          <w:tab w:val="left" w:pos="1134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Общие  итоги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внешней  торговли  Воронежской области </w:t>
      </w:r>
    </w:p>
    <w:p w:rsidR="0055071F" w:rsidRDefault="0055071F" w:rsidP="0055071F">
      <w:pPr>
        <w:tabs>
          <w:tab w:val="left" w:pos="1134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 январь – июнь 2020 года</w:t>
      </w:r>
    </w:p>
    <w:p w:rsidR="0055071F" w:rsidRDefault="0055071F" w:rsidP="00550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tbl>
      <w:tblPr>
        <w:tblW w:w="994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7"/>
        <w:gridCol w:w="1277"/>
        <w:gridCol w:w="1419"/>
        <w:gridCol w:w="1276"/>
        <w:gridCol w:w="1419"/>
        <w:gridCol w:w="1418"/>
        <w:gridCol w:w="1419"/>
      </w:tblGrid>
      <w:tr w:rsidR="0055071F" w:rsidTr="0055071F">
        <w:trPr>
          <w:trHeight w:val="255"/>
        </w:trPr>
        <w:tc>
          <w:tcPr>
            <w:tcW w:w="9938" w:type="dxa"/>
            <w:gridSpan w:val="7"/>
            <w:noWrap/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долларов США</w:t>
            </w:r>
          </w:p>
        </w:tc>
      </w:tr>
      <w:tr w:rsidR="0055071F" w:rsidTr="0055071F">
        <w:trPr>
          <w:trHeight w:val="255"/>
        </w:trPr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роста, %</w:t>
            </w:r>
          </w:p>
        </w:tc>
      </w:tr>
      <w:tr w:rsidR="0055071F" w:rsidTr="0055071F">
        <w:trPr>
          <w:trHeight w:val="653"/>
        </w:trPr>
        <w:tc>
          <w:tcPr>
            <w:tcW w:w="9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квартал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квартал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кв. 2020/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 кв.  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янв.- июнь 2020/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янв.- июнь 2019</w:t>
            </w:r>
          </w:p>
        </w:tc>
      </w:tr>
      <w:tr w:rsidR="0055071F" w:rsidTr="0055071F">
        <w:trPr>
          <w:trHeight w:val="407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497 702,4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1 048 312,6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483 097,6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958 403,1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55071F" w:rsidTr="0055071F">
        <w:trPr>
          <w:trHeight w:val="399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280 725,6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619 759,5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238 390,4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505 166,3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81,5</w:t>
            </w:r>
          </w:p>
        </w:tc>
      </w:tr>
      <w:tr w:rsidR="0055071F" w:rsidTr="0055071F">
        <w:trPr>
          <w:trHeight w:val="433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216 976,8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428 553,1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244 707,2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453 236,8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105,8</w:t>
            </w:r>
          </w:p>
        </w:tc>
      </w:tr>
      <w:tr w:rsidR="0055071F" w:rsidTr="0055071F">
        <w:trPr>
          <w:trHeight w:val="411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Сальдо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63 748,8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191 206,4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-6 316,8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51 929,5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71F" w:rsidRDefault="00550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ХХХ</w:t>
            </w:r>
          </w:p>
        </w:tc>
      </w:tr>
    </w:tbl>
    <w:p w:rsidR="0055071F" w:rsidRDefault="0055071F" w:rsidP="0055071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5071F" w:rsidRDefault="0055071F" w:rsidP="0055071F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По данным таможенной статистики в течение января - июня 2020 года предприятия и организации, зарегистрированные в Воронежской области, осуществляли торговлю со 109 странами мира. Их количество сократилось по отношению к аналогичному периоду 2019 года на 1 страну.</w:t>
      </w:r>
    </w:p>
    <w:p w:rsidR="0055071F" w:rsidRDefault="0055071F" w:rsidP="0055071F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Внешнеторговый оборот Воронежской области за истекший период составил 958,4 млн. долларов США и по сравнению с январем - июнем 2019 года уменьшился на 8,6 %.</w:t>
      </w:r>
    </w:p>
    <w:p w:rsidR="0055071F" w:rsidRDefault="0055071F" w:rsidP="0055071F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Экспорт сократился на 18,5 % и составил 505,2 млн. долларов США за счет снижения экспортных поставок в страны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СНГ  на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14,9 % и на 21,1 % в страны дальнего зарубежья            (далее – страны ДЗ). </w:t>
      </w:r>
    </w:p>
    <w:p w:rsidR="0055071F" w:rsidRDefault="0055071F" w:rsidP="0055071F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Стоимостные объемы импорта по отношению к январю - июню 2019 года увеличились на 5,8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%  и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составили 453,2 млн. долларов США. </w:t>
      </w:r>
    </w:p>
    <w:p w:rsidR="0055071F" w:rsidRDefault="0055071F" w:rsidP="0055071F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i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По итогам истекшего периода сальдо торгового баланса сложилось положительное и составило почти 52,0 млн. долларов США. Экспорт товаров из Воронежской области по стоимости превышает объемы импорт в этот регион в 1,1 раза.</w:t>
      </w:r>
    </w:p>
    <w:p w:rsidR="0055071F" w:rsidRDefault="0055071F" w:rsidP="00550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071F" w:rsidRDefault="0055071F" w:rsidP="0055071F">
      <w:pPr>
        <w:tabs>
          <w:tab w:val="left" w:pos="1134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Итоги внешней торговли Воронежской области со странами дальнего зарубежья </w:t>
      </w:r>
    </w:p>
    <w:p w:rsidR="0055071F" w:rsidRDefault="0055071F" w:rsidP="0055071F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5071F" w:rsidRDefault="0055071F" w:rsidP="0055071F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Товарооборот Воронежской области со странами ДЗ за январь-июнь 2020 года составил 633,3 млн. долларов США и по сравнению с аналогичным периодом 2019 года снизился           на 5,5%.</w:t>
      </w:r>
    </w:p>
    <w:p w:rsidR="0055071F" w:rsidRDefault="0055071F" w:rsidP="0055071F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Оборот внешней торговли со странами ДЗ превышает оборот со странами СНГ в 1,9 раза.</w:t>
      </w:r>
    </w:p>
    <w:p w:rsidR="0055071F" w:rsidRDefault="0055071F" w:rsidP="0055071F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Экспорт в страны дальнего зарубежья сократился на 21,1 % и составил 282,6 млн. долларов США. Импорт из стран ДЗ составил 350,7 млн. долларов США и по отношению к показателям января – июня 2019 года увеличился на 12,5%. </w:t>
      </w:r>
    </w:p>
    <w:p w:rsidR="0055071F" w:rsidRDefault="0055071F" w:rsidP="0055071F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По итогам истекшего периода внешняя торговля со странами дальнего зарубежья характеризуется отрицательным сальдо – 68,1 млн. долларов США.</w:t>
      </w:r>
    </w:p>
    <w:p w:rsidR="0055071F" w:rsidRDefault="0055071F" w:rsidP="0055071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5071F" w:rsidRDefault="0055071F" w:rsidP="0055071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5071F" w:rsidRDefault="0055071F" w:rsidP="0055071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Итоги внешней торговли Воронежской области со странами СНГ </w:t>
      </w:r>
    </w:p>
    <w:p w:rsidR="0055071F" w:rsidRDefault="0055071F" w:rsidP="0055071F">
      <w:pPr>
        <w:tabs>
          <w:tab w:val="left" w:pos="1134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5071F" w:rsidRDefault="0055071F" w:rsidP="0055071F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Объем внешней торговли Воронежской области с государствами СНГ (с учётом стран - членов ЕАЭС) за январь - июнь 2020 года составил 325,1 млн. долларов США, что на 14,1% меньше показателей соответствующего периода 2019 года, в том числе экспорт – 222,6 млн. долларов США (снижение на 14,9%), импорт – 102,5 млн. долларов США (снижение на 12,1%).</w:t>
      </w:r>
    </w:p>
    <w:p w:rsidR="0055071F" w:rsidRDefault="0055071F" w:rsidP="0055071F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На снижение стоимости экспорта повлияло, в первую очередь, сокращение в 1,3 раза вывоза российских товаров в Украину (на 38,1 млн. долларов США), Беларусь (на 8,6 млн. долларов США) и Азербайджан (на 4,4 млн. долларов США). При этом наблюдается рост стоимостных объемов экспорта в Узбекистан (на 6,6 млн. долларов США или в 1,4 раза).</w:t>
      </w:r>
    </w:p>
    <w:p w:rsidR="0055071F" w:rsidRDefault="0055071F" w:rsidP="0055071F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Снижение стоимостных объемов импорта обусловлено, в основном, уменьшением поставок из Беларуси (на 10,5 млн. долларов США или на 12,3%) и Украины (на 6,3 млн. долларов США или на 26,2%). При этом наблюдается рост стоимостных объемов импорта из Казахстана (на 1,6 млн. долларов США или на 30,4%).</w:t>
      </w:r>
    </w:p>
    <w:p w:rsidR="0055071F" w:rsidRDefault="0055071F" w:rsidP="0055071F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Сальдо торгового баланса сложилось положительное и составило 120,1 млн. долларов США.</w:t>
      </w:r>
    </w:p>
    <w:p w:rsidR="0055071F" w:rsidRDefault="0055071F" w:rsidP="0055071F">
      <w:pPr>
        <w:tabs>
          <w:tab w:val="left" w:pos="1134"/>
        </w:tabs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Основные торговые партнеры Воронежской области</w:t>
      </w:r>
    </w:p>
    <w:p w:rsidR="0055071F" w:rsidRDefault="0055071F" w:rsidP="0055071F">
      <w:pPr>
        <w:tabs>
          <w:tab w:val="left" w:pos="1134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5071F" w:rsidRDefault="0055071F" w:rsidP="0055071F">
      <w:pPr>
        <w:tabs>
          <w:tab w:val="left" w:pos="1134"/>
        </w:tabs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Основными торговыми партнерами Воронежской области в январе - июне 2020 года были: Украина 14,4% от всего товарооборота субъекта Российской Федерации (в январе – июне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br/>
        <w:t xml:space="preserve">2019 года – 17,4%), Китай – 10,7% (8,3%), Беларусь – 10,7% (11,6%), Германия – 5,3% (5,8%),                Польша – 4,8% (6,5%), Турция – 4,1% (3,2%), Австрия – 3,7% (0,4%), Нидерланды – 3,1% (1,8%), Египет – 2,9% (2,8%), Латвия – 2,7% (3,7%). </w:t>
      </w:r>
    </w:p>
    <w:p w:rsidR="0055071F" w:rsidRDefault="0055071F" w:rsidP="0055071F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334125" cy="3543300"/>
            <wp:effectExtent l="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55071F" w:rsidRDefault="0055071F" w:rsidP="0055071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5071F" w:rsidRDefault="0055071F" w:rsidP="0055071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5071F" w:rsidRDefault="0055071F" w:rsidP="0055071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Товарная структура ЭКСПОРТА Воронежской области</w:t>
      </w:r>
    </w:p>
    <w:p w:rsidR="0055071F" w:rsidRDefault="0055071F" w:rsidP="0055071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5071F" w:rsidRDefault="0055071F" w:rsidP="0055071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819775" cy="326707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5071F" w:rsidRDefault="0055071F" w:rsidP="0055071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5071F" w:rsidRDefault="0055071F" w:rsidP="0055071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Товарная структура ИМПОРТА Воронежской области</w:t>
      </w:r>
    </w:p>
    <w:p w:rsidR="0055071F" w:rsidRDefault="0055071F" w:rsidP="0055071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5071F" w:rsidRDefault="0055071F" w:rsidP="0055071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5071F" w:rsidRDefault="0055071F" w:rsidP="0055071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762625" cy="3419475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E553A" w:rsidRDefault="009E553A">
      <w:bookmarkStart w:id="0" w:name="_GoBack"/>
      <w:bookmarkEnd w:id="0"/>
    </w:p>
    <w:sectPr w:rsidR="009E5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F"/>
    <w:rsid w:val="0055071F"/>
    <w:rsid w:val="009E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98AC86-025F-49C6-B990-EF7A1A6DA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1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0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2;&#1085;&#1077;&#1096;&#1085;&#1103;&#1103;%20&#1090;&#1086;&#1088;&#1075;&#1086;&#1074;&#1083;&#1103;%20&#1055;&#1056;_2560_&#1089;&#1091;&#1073;&#1098;&#1077;&#1082;&#1090;&#1099;\&#1057;&#1042;%20&#1042;&#1086;&#1088;&#1086;&#1085;&#1077;&#1078;\&#1056;&#1099;&#1073;&#1072;%20&#1090;&#1086;&#1088;&#1075;&#1086;&#1074;&#1099;&#1077;%20&#1087;&#1072;&#1088;&#1090;&#1085;&#1077;&#1088;&#1099;%20&#1075;&#1088;&#1072;&#1092;&#1080;&#1082;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2;&#1085;&#1077;&#1096;&#1085;&#1103;&#1103;%20&#1090;&#1086;&#1088;&#1075;&#1086;&#1074;&#1083;&#1103;%20&#1055;&#1056;_2560_&#1089;&#1091;&#1073;&#1098;&#1077;&#1082;&#1090;&#1099;\&#1057;&#1042;%20&#1042;&#1086;&#1088;&#1086;&#1085;&#1077;&#1078;\&#1056;&#1099;&#1073;&#1072;%20&#1090;&#1086;&#1074;&#1072;&#1088;&#1085;&#1072;&#1103;%20&#1089;&#1090;&#1088;&#1091;&#1082;&#1090;&#1091;&#1088;&#1072;%20&#1075;&#1088;&#1072;&#1092;&#1080;&#1082;%20&#1042;&#1086;&#1088;&#1086;&#1085;&#1077;&#1078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2;&#1085;&#1077;&#1096;&#1085;&#1103;&#1103;%20&#1090;&#1086;&#1088;&#1075;&#1086;&#1074;&#1083;&#1103;%20&#1055;&#1056;_2560_&#1089;&#1091;&#1073;&#1098;&#1077;&#1082;&#1090;&#1099;\&#1057;&#1042;%20&#1042;&#1086;&#1088;&#1086;&#1085;&#1077;&#1078;\&#1056;&#1099;&#1073;&#1072;%20&#1090;&#1086;&#1074;&#1072;&#1088;&#1085;&#1072;&#1103;%20&#1089;&#1090;&#1088;&#1091;&#1082;&#1090;&#1091;&#1088;&#1072;%20&#1075;&#1088;&#1072;&#1092;&#1080;&#1082;%20&#1042;&#1086;&#1088;&#1086;&#1085;&#1077;&#1078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</c:spPr>
    </c:backWall>
    <c:plotArea>
      <c:layout>
        <c:manualLayout>
          <c:layoutTarget val="inner"/>
          <c:xMode val="edge"/>
          <c:yMode val="edge"/>
          <c:x val="0.11448087976344729"/>
          <c:y val="8.0216606293543755E-2"/>
          <c:w val="0.8710262799428552"/>
          <c:h val="0.58273895568669476"/>
        </c:manualLayout>
      </c:layout>
      <c:bar3DChart>
        <c:barDir val="col"/>
        <c:grouping val="clustered"/>
        <c:varyColors val="0"/>
        <c:ser>
          <c:idx val="2"/>
          <c:order val="0"/>
          <c:tx>
            <c:strRef>
              <c:f>Данные!$D$2</c:f>
              <c:strCache>
                <c:ptCount val="1"/>
                <c:pt idx="0">
                  <c:v>Оборот</c:v>
                </c:pt>
              </c:strCache>
            </c:strRef>
          </c:tx>
          <c:spPr>
            <a:gradFill flip="none" rotWithShape="1">
              <a:gsLst>
                <a:gs pos="0">
                  <a:srgbClr val="DDEBCF">
                    <a:lumMod val="8000"/>
                    <a:lumOff val="92000"/>
                  </a:srgbClr>
                </a:gs>
                <a:gs pos="50000">
                  <a:srgbClr val="9CB86E"/>
                </a:gs>
                <a:gs pos="100000">
                  <a:srgbClr val="156B13"/>
                </a:gs>
              </a:gsLst>
              <a:path path="shape">
                <a:fillToRect l="50000" t="50000" r="50000" b="50000"/>
              </a:path>
              <a:tileRect/>
            </a:gradFill>
            <a:ln>
              <a:noFill/>
            </a:ln>
            <a:scene3d>
              <a:camera prst="orthographicFront"/>
              <a:lightRig rig="morning" dir="t"/>
            </a:scene3d>
            <a:sp3d prstMaterial="dkEdge"/>
          </c:spPr>
          <c:invertIfNegative val="0"/>
          <c:cat>
            <c:strRef>
              <c:f>Данные!$A$5:$A$14</c:f>
              <c:strCache>
                <c:ptCount val="10"/>
                <c:pt idx="0">
                  <c:v>УКРАИНА</c:v>
                </c:pt>
                <c:pt idx="1">
                  <c:v>КИТАЙ</c:v>
                </c:pt>
                <c:pt idx="2">
                  <c:v>БЕЛАРУСЬ</c:v>
                </c:pt>
                <c:pt idx="3">
                  <c:v>ГЕРМАНИЯ</c:v>
                </c:pt>
                <c:pt idx="4">
                  <c:v>ПОЛЬША</c:v>
                </c:pt>
                <c:pt idx="5">
                  <c:v>ТУРЦИЯ</c:v>
                </c:pt>
                <c:pt idx="6">
                  <c:v>АВСТРИЯ</c:v>
                </c:pt>
                <c:pt idx="7">
                  <c:v>НИДЕРЛАНДЫ</c:v>
                </c:pt>
                <c:pt idx="8">
                  <c:v>ЕГИПЕТ</c:v>
                </c:pt>
                <c:pt idx="9">
                  <c:v>ЛАТВИЯ</c:v>
                </c:pt>
              </c:strCache>
            </c:strRef>
          </c:cat>
          <c:val>
            <c:numRef>
              <c:f>Данные!$D$5:$D$14</c:f>
              <c:numCache>
                <c:formatCode>#,##0.0</c:formatCode>
                <c:ptCount val="10"/>
                <c:pt idx="0">
                  <c:v>137.6649242</c:v>
                </c:pt>
                <c:pt idx="1">
                  <c:v>102.56162473000001</c:v>
                </c:pt>
                <c:pt idx="2">
                  <c:v>102.11161622</c:v>
                </c:pt>
                <c:pt idx="3">
                  <c:v>50.631568299999998</c:v>
                </c:pt>
                <c:pt idx="4">
                  <c:v>46.261942959999999</c:v>
                </c:pt>
                <c:pt idx="5">
                  <c:v>39.315871470000005</c:v>
                </c:pt>
                <c:pt idx="6">
                  <c:v>35.254041210000004</c:v>
                </c:pt>
                <c:pt idx="7">
                  <c:v>29.378104190000002</c:v>
                </c:pt>
                <c:pt idx="8">
                  <c:v>28.02728025</c:v>
                </c:pt>
                <c:pt idx="9">
                  <c:v>25.69604236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45F-4CE1-A562-8CB040273838}"/>
            </c:ext>
          </c:extLst>
        </c:ser>
        <c:ser>
          <c:idx val="0"/>
          <c:order val="1"/>
          <c:tx>
            <c:strRef>
              <c:f>Данные!$B$2</c:f>
              <c:strCache>
                <c:ptCount val="1"/>
                <c:pt idx="0">
                  <c:v>Экспорт</c:v>
                </c:pt>
              </c:strCache>
            </c:strRef>
          </c:tx>
          <c:spPr>
            <a:gradFill flip="none" rotWithShape="1">
              <a:gsLst>
                <a:gs pos="0">
                  <a:srgbClr val="000082"/>
                </a:gs>
                <a:gs pos="52000">
                  <a:srgbClr val="0047FF"/>
                </a:gs>
                <a:gs pos="100000">
                  <a:srgbClr val="0047FF"/>
                </a:gs>
              </a:gsLst>
              <a:lin ang="2700000" scaled="1"/>
              <a:tileRect/>
            </a:gradFill>
          </c:spPr>
          <c:invertIfNegative val="0"/>
          <c:cat>
            <c:strRef>
              <c:f>Данные!$A$5:$A$14</c:f>
              <c:strCache>
                <c:ptCount val="10"/>
                <c:pt idx="0">
                  <c:v>УКРАИНА</c:v>
                </c:pt>
                <c:pt idx="1">
                  <c:v>КИТАЙ</c:v>
                </c:pt>
                <c:pt idx="2">
                  <c:v>БЕЛАРУСЬ</c:v>
                </c:pt>
                <c:pt idx="3">
                  <c:v>ГЕРМАНИЯ</c:v>
                </c:pt>
                <c:pt idx="4">
                  <c:v>ПОЛЬША</c:v>
                </c:pt>
                <c:pt idx="5">
                  <c:v>ТУРЦИЯ</c:v>
                </c:pt>
                <c:pt idx="6">
                  <c:v>АВСТРИЯ</c:v>
                </c:pt>
                <c:pt idx="7">
                  <c:v>НИДЕРЛАНДЫ</c:v>
                </c:pt>
                <c:pt idx="8">
                  <c:v>ЕГИПЕТ</c:v>
                </c:pt>
                <c:pt idx="9">
                  <c:v>ЛАТВИЯ</c:v>
                </c:pt>
              </c:strCache>
            </c:strRef>
          </c:cat>
          <c:val>
            <c:numRef>
              <c:f>Данные!$B$5:$B$14</c:f>
              <c:numCache>
                <c:formatCode>#,##0</c:formatCode>
                <c:ptCount val="10"/>
                <c:pt idx="0">
                  <c:v>119.84357273000001</c:v>
                </c:pt>
                <c:pt idx="1">
                  <c:v>16.70166292</c:v>
                </c:pt>
                <c:pt idx="2">
                  <c:v>26.737923689999999</c:v>
                </c:pt>
                <c:pt idx="3">
                  <c:v>13.261747009999999</c:v>
                </c:pt>
                <c:pt idx="4">
                  <c:v>20.14532908</c:v>
                </c:pt>
                <c:pt idx="5">
                  <c:v>33.745855460000001</c:v>
                </c:pt>
                <c:pt idx="6">
                  <c:v>1.05233197</c:v>
                </c:pt>
                <c:pt idx="7">
                  <c:v>7.2669595899999999</c:v>
                </c:pt>
                <c:pt idx="8">
                  <c:v>27.899224650000001</c:v>
                </c:pt>
                <c:pt idx="9">
                  <c:v>21.367229680000001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45F-4CE1-A562-8CB040273838}"/>
            </c:ext>
          </c:extLst>
        </c:ser>
        <c:ser>
          <c:idx val="1"/>
          <c:order val="2"/>
          <c:tx>
            <c:strRef>
              <c:f>Данные!$C$2</c:f>
              <c:strCache>
                <c:ptCount val="1"/>
                <c:pt idx="0">
                  <c:v>Импорт</c:v>
                </c:pt>
              </c:strCache>
            </c:strRef>
          </c:tx>
          <c:spPr>
            <a:gradFill flip="none" rotWithShape="1">
              <a:gsLst>
                <a:gs pos="0">
                  <a:srgbClr val="FFF200"/>
                </a:gs>
                <a:gs pos="81000">
                  <a:srgbClr val="FF0300"/>
                </a:gs>
                <a:gs pos="100000">
                  <a:srgbClr val="4D0808"/>
                </a:gs>
              </a:gsLst>
              <a:lin ang="2700000" scaled="1"/>
              <a:tileRect/>
            </a:gradFill>
          </c:spPr>
          <c:invertIfNegative val="0"/>
          <c:cat>
            <c:strRef>
              <c:f>Данные!$A$5:$A$14</c:f>
              <c:strCache>
                <c:ptCount val="10"/>
                <c:pt idx="0">
                  <c:v>УКРАИНА</c:v>
                </c:pt>
                <c:pt idx="1">
                  <c:v>КИТАЙ</c:v>
                </c:pt>
                <c:pt idx="2">
                  <c:v>БЕЛАРУСЬ</c:v>
                </c:pt>
                <c:pt idx="3">
                  <c:v>ГЕРМАНИЯ</c:v>
                </c:pt>
                <c:pt idx="4">
                  <c:v>ПОЛЬША</c:v>
                </c:pt>
                <c:pt idx="5">
                  <c:v>ТУРЦИЯ</c:v>
                </c:pt>
                <c:pt idx="6">
                  <c:v>АВСТРИЯ</c:v>
                </c:pt>
                <c:pt idx="7">
                  <c:v>НИДЕРЛАНДЫ</c:v>
                </c:pt>
                <c:pt idx="8">
                  <c:v>ЕГИПЕТ</c:v>
                </c:pt>
                <c:pt idx="9">
                  <c:v>ЛАТВИЯ</c:v>
                </c:pt>
              </c:strCache>
            </c:strRef>
          </c:cat>
          <c:val>
            <c:numRef>
              <c:f>Данные!$C$5:$C$14</c:f>
              <c:numCache>
                <c:formatCode>#,##0</c:formatCode>
                <c:ptCount val="10"/>
                <c:pt idx="0">
                  <c:v>17.821351469999996</c:v>
                </c:pt>
                <c:pt idx="1">
                  <c:v>85.859961810000001</c:v>
                </c:pt>
                <c:pt idx="2">
                  <c:v>75.37369253</c:v>
                </c:pt>
                <c:pt idx="3">
                  <c:v>37.369821289999997</c:v>
                </c:pt>
                <c:pt idx="4">
                  <c:v>26.116613879999996</c:v>
                </c:pt>
                <c:pt idx="5">
                  <c:v>5.5700160099999998</c:v>
                </c:pt>
                <c:pt idx="6">
                  <c:v>34.201709240000007</c:v>
                </c:pt>
                <c:pt idx="7">
                  <c:v>22.111144600000003</c:v>
                </c:pt>
                <c:pt idx="8">
                  <c:v>0.12805559999999999</c:v>
                </c:pt>
                <c:pt idx="9">
                  <c:v>4.3288126800000004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45F-4CE1-A562-8CB0402738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gapDepth val="102"/>
        <c:shape val="cylinder"/>
        <c:axId val="78473856"/>
        <c:axId val="78487936"/>
        <c:axId val="0"/>
      </c:bar3DChart>
      <c:catAx>
        <c:axId val="784738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</c:spPr>
        <c:txPr>
          <a:bodyPr/>
          <a:lstStyle/>
          <a:p>
            <a:pPr>
              <a:defRPr sz="900"/>
            </a:pPr>
            <a:endParaRPr lang="ru-RU"/>
          </a:p>
        </c:txPr>
        <c:crossAx val="78487936"/>
        <c:crosses val="autoZero"/>
        <c:auto val="1"/>
        <c:lblAlgn val="ctr"/>
        <c:lblOffset val="100"/>
        <c:noMultiLvlLbl val="0"/>
      </c:catAx>
      <c:valAx>
        <c:axId val="78487936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100"/>
                </a:pPr>
                <a:r>
                  <a:rPr lang="ru-RU" sz="1100"/>
                  <a:t>млн. долларов США</a:t>
                </a:r>
              </a:p>
            </c:rich>
          </c:tx>
          <c:layout>
            <c:manualLayout>
              <c:xMode val="edge"/>
              <c:yMode val="edge"/>
              <c:x val="1.7625004152961896E-2"/>
              <c:y val="0.14466874146131301"/>
            </c:manualLayout>
          </c:layout>
          <c:overlay val="0"/>
        </c:title>
        <c:numFmt formatCode="#,##0.0" sourceLinked="1"/>
        <c:majorTickMark val="out"/>
        <c:minorTickMark val="none"/>
        <c:tickLblPos val="nextTo"/>
        <c:crossAx val="78473856"/>
        <c:crosses val="autoZero"/>
        <c:crossBetween val="between"/>
      </c:valAx>
    </c:plotArea>
    <c:legend>
      <c:legendPos val="t"/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3251566031310309"/>
          <c:y val="4.1462168627522958E-2"/>
          <c:w val="0.625"/>
          <c:h val="0.94102885821831872"/>
        </c:manualLayout>
      </c:layout>
      <c:pieChart>
        <c:varyColors val="1"/>
        <c:ser>
          <c:idx val="0"/>
          <c:order val="0"/>
          <c:explosion val="3"/>
          <c:dPt>
            <c:idx val="4"/>
            <c:bubble3D val="0"/>
            <c:explosion val="5"/>
            <c:extLst>
              <c:ext xmlns:c16="http://schemas.microsoft.com/office/drawing/2014/chart" uri="{C3380CC4-5D6E-409C-BE32-E72D297353CC}">
                <c16:uniqueId val="{00000001-A5AC-4420-9534-E8A6E5031B5F}"/>
              </c:ext>
            </c:extLst>
          </c:dPt>
          <c:dLbls>
            <c:dLbl>
              <c:idx val="0"/>
              <c:layout>
                <c:manualLayout>
                  <c:x val="-0.19036748846761128"/>
                  <c:y val="0.21756021756021757"/>
                </c:manualLayout>
              </c:layout>
              <c:tx>
                <c:rich>
                  <a:bodyPr/>
                  <a:lstStyle/>
                  <a:p>
                    <a:r>
                      <a:rPr lang="ru-RU" b="1">
                        <a:solidFill>
                          <a:schemeClr val="bg1"/>
                        </a:solidFill>
                      </a:rPr>
                      <a:t>Продовольственные товары и сырье - 47,0%</a:t>
                    </a:r>
                  </a:p>
                </c:rich>
              </c:tx>
              <c:dLblPos val="bestFit"/>
              <c:showLegendKey val="1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5AC-4420-9534-E8A6E5031B5F}"/>
                </c:ext>
              </c:extLst>
            </c:dLbl>
            <c:dLbl>
              <c:idx val="1"/>
              <c:layout>
                <c:manualLayout>
                  <c:x val="-2.2142874342542043E-2"/>
                  <c:y val="-0.12403716143873625"/>
                </c:manualLayout>
              </c:layout>
              <c:tx>
                <c:rich>
                  <a:bodyPr/>
                  <a:lstStyle/>
                  <a:p>
                    <a:r>
                      <a:rPr lang="ru-RU" b="1">
                        <a:solidFill>
                          <a:schemeClr val="bg1"/>
                        </a:solidFill>
                      </a:rPr>
                      <a:t>Продукция химической промышленности,каучук - 38,8%</a:t>
                    </a:r>
                  </a:p>
                </c:rich>
              </c:tx>
              <c:dLblPos val="bestFit"/>
              <c:showLegendKey val="1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5AC-4420-9534-E8A6E5031B5F}"/>
                </c:ext>
              </c:extLst>
            </c:dLbl>
            <c:dLbl>
              <c:idx val="2"/>
              <c:layout>
                <c:manualLayout>
                  <c:x val="-3.2499664606144417E-2"/>
                  <c:y val="7.7700077700077697E-2"/>
                </c:manualLayout>
              </c:layout>
              <c:dLblPos val="bestFit"/>
              <c:showLegendKey val="1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5AC-4420-9534-E8A6E5031B5F}"/>
                </c:ext>
              </c:extLst>
            </c:dLbl>
            <c:dLbl>
              <c:idx val="3"/>
              <c:layout>
                <c:manualLayout>
                  <c:x val="-6.5530971472602617E-2"/>
                  <c:y val="4.273504273504273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Металлы и изделия из них - 3,7%</a:t>
                    </a:r>
                  </a:p>
                </c:rich>
              </c:tx>
              <c:dLblPos val="bestFit"/>
              <c:showLegendKey val="1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5AC-4420-9534-E8A6E5031B5F}"/>
                </c:ext>
              </c:extLst>
            </c:dLbl>
            <c:dLbl>
              <c:idx val="4"/>
              <c:layout>
                <c:manualLayout>
                  <c:x val="-2.8396679772826561E-2"/>
                  <c:y val="-5.439005439005439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товары - 2,8%</a:t>
                    </a:r>
                  </a:p>
                </c:rich>
              </c:tx>
              <c:dLblPos val="bestFit"/>
              <c:showLegendKey val="1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5AC-4420-9534-E8A6E5031B5F}"/>
                </c:ext>
              </c:extLst>
            </c:dLbl>
            <c:spPr>
              <a:ln>
                <a:noFill/>
              </a:ln>
            </c:spPr>
            <c:txPr>
              <a:bodyPr rot="0"/>
              <a:lstStyle/>
              <a:p>
                <a:pPr>
                  <a:defRPr sz="1100"/>
                </a:pPr>
                <a:endParaRPr lang="ru-RU"/>
              </a:p>
            </c:txPr>
            <c:dLblPos val="outEnd"/>
            <c:showLegendKey val="1"/>
            <c:showVal val="0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Экспорт!$D$16:$D$20</c:f>
              <c:strCache>
                <c:ptCount val="5"/>
                <c:pt idx="0">
                  <c:v>Продовольственные товары и сырье - 47.0%</c:v>
                </c:pt>
                <c:pt idx="1">
                  <c:v>Продукция химической промышленности,каучук - 38.8%</c:v>
                </c:pt>
                <c:pt idx="2">
                  <c:v>Машиностроительная продукция - 7,7%</c:v>
                </c:pt>
                <c:pt idx="3">
                  <c:v>Металлы и изделия из них - 3.7%</c:v>
                </c:pt>
                <c:pt idx="4">
                  <c:v>Другие товары - 2.8%</c:v>
                </c:pt>
              </c:strCache>
            </c:strRef>
          </c:cat>
          <c:val>
            <c:numRef>
              <c:f>Экспорт!$E$16:$E$20</c:f>
              <c:numCache>
                <c:formatCode>0.0</c:formatCode>
                <c:ptCount val="5"/>
                <c:pt idx="0" formatCode="General">
                  <c:v>47</c:v>
                </c:pt>
                <c:pt idx="1">
                  <c:v>38.799999999999997</c:v>
                </c:pt>
                <c:pt idx="2" formatCode="General">
                  <c:v>7.7</c:v>
                </c:pt>
                <c:pt idx="3">
                  <c:v>3.7</c:v>
                </c:pt>
                <c:pt idx="4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5AC-4420-9534-E8A6E5031B5F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300"/>
      </c:pieChart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9919957921926424"/>
          <c:y val="2.2635018618218379E-2"/>
          <c:w val="0.625"/>
          <c:h val="0.94102885821831872"/>
        </c:manualLayout>
      </c:layout>
      <c:pieChart>
        <c:varyColors val="1"/>
        <c:ser>
          <c:idx val="0"/>
          <c:order val="0"/>
          <c:explosion val="6"/>
          <c:dLbls>
            <c:dLbl>
              <c:idx val="0"/>
              <c:layout>
                <c:manualLayout>
                  <c:x val="-0.11904761904761904"/>
                  <c:y val="0.23385300668151449"/>
                </c:manualLayout>
              </c:layout>
              <c:tx>
                <c:rich>
                  <a:bodyPr/>
                  <a:lstStyle/>
                  <a:p>
                    <a:r>
                      <a:rPr lang="ru-RU" b="1">
                        <a:solidFill>
                          <a:schemeClr val="bg1"/>
                        </a:solidFill>
                      </a:rPr>
                      <a:t>Машиностроительная продукция - 44,8%</a:t>
                    </a:r>
                  </a:p>
                </c:rich>
              </c:tx>
              <c:dLblPos val="bestFit"/>
              <c:showLegendKey val="1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8D4-43F0-87F3-46501AC21269}"/>
                </c:ext>
              </c:extLst>
            </c:dLbl>
            <c:dLbl>
              <c:idx val="1"/>
              <c:layout>
                <c:manualLayout>
                  <c:x val="-0.13447798191892679"/>
                  <c:y val="-0.1410568250238208"/>
                </c:manualLayout>
              </c:layout>
              <c:tx>
                <c:rich>
                  <a:bodyPr/>
                  <a:lstStyle/>
                  <a:p>
                    <a:r>
                      <a:rPr lang="ru-RU" b="1">
                        <a:solidFill>
                          <a:schemeClr val="bg1"/>
                        </a:solidFill>
                      </a:rPr>
                      <a:t>Продовольственные товары и сырье - 19,4%</a:t>
                    </a:r>
                  </a:p>
                </c:rich>
              </c:tx>
              <c:dLblPos val="bestFit"/>
              <c:showLegendKey val="1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8D4-43F0-87F3-46501AC21269}"/>
                </c:ext>
              </c:extLst>
            </c:dLbl>
            <c:dLbl>
              <c:idx val="2"/>
              <c:layout>
                <c:manualLayout>
                  <c:x val="-8.2894672888111212E-2"/>
                  <c:y val="-2.9798210078973982E-2"/>
                </c:manualLayout>
              </c:layout>
              <c:dLblPos val="bestFit"/>
              <c:showLegendKey val="1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8D4-43F0-87F3-46501AC21269}"/>
                </c:ext>
              </c:extLst>
            </c:dLbl>
            <c:dLbl>
              <c:idx val="3"/>
              <c:layout>
                <c:manualLayout>
                  <c:x val="-5.5652939215931341E-2"/>
                  <c:y val="8.2110142690960276E-3"/>
                </c:manualLayout>
              </c:layout>
              <c:dLblPos val="bestFit"/>
              <c:showLegendKey val="1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8D4-43F0-87F3-46501AC21269}"/>
                </c:ext>
              </c:extLst>
            </c:dLbl>
            <c:dLbl>
              <c:idx val="4"/>
              <c:layout>
                <c:manualLayout>
                  <c:x val="-6.4292310683386797E-2"/>
                  <c:y val="-1.9328458107547247E-3"/>
                </c:manualLayout>
              </c:layout>
              <c:dLblPos val="bestFit"/>
              <c:showLegendKey val="1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8D4-43F0-87F3-46501AC21269}"/>
                </c:ext>
              </c:extLst>
            </c:dLbl>
            <c:dLbl>
              <c:idx val="5"/>
              <c:layout>
                <c:manualLayout>
                  <c:x val="-3.4735067838742383E-2"/>
                  <c:y val="-9.3172930221138844E-3"/>
                </c:manualLayout>
              </c:layout>
              <c:dLblPos val="bestFit"/>
              <c:showLegendKey val="1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8D4-43F0-87F3-46501AC21269}"/>
                </c:ext>
              </c:extLst>
            </c:dLbl>
            <c:spPr>
              <a:ln>
                <a:noFill/>
              </a:ln>
            </c:spPr>
            <c:txPr>
              <a:bodyPr rot="0"/>
              <a:lstStyle/>
              <a:p>
                <a:pPr>
                  <a:defRPr sz="1100"/>
                </a:pPr>
                <a:endParaRPr lang="ru-RU"/>
              </a:p>
            </c:txPr>
            <c:dLblPos val="outEnd"/>
            <c:showLegendKey val="1"/>
            <c:showVal val="0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Импорт!$D$15:$D$20</c:f>
              <c:strCache>
                <c:ptCount val="6"/>
                <c:pt idx="0">
                  <c:v>Машиностроительная продукция - 44,8%</c:v>
                </c:pt>
                <c:pt idx="1">
                  <c:v>Продовольственные товары и сырье - 19,4%</c:v>
                </c:pt>
                <c:pt idx="2">
                  <c:v>Металлы и изделия из них - 11,9%</c:v>
                </c:pt>
                <c:pt idx="3">
                  <c:v>Продукция химической промышленности,каучук - 11,2%</c:v>
                </c:pt>
                <c:pt idx="4">
                  <c:v>Текстиль,текстильные изделия и обувь - 3,1%</c:v>
                </c:pt>
                <c:pt idx="5">
                  <c:v>Другие товары - 9,6%</c:v>
                </c:pt>
              </c:strCache>
            </c:strRef>
          </c:cat>
          <c:val>
            <c:numRef>
              <c:f>Импорт!$E$15:$E$20</c:f>
              <c:numCache>
                <c:formatCode>General</c:formatCode>
                <c:ptCount val="6"/>
                <c:pt idx="0">
                  <c:v>44.8</c:v>
                </c:pt>
                <c:pt idx="1">
                  <c:v>19.399999999999999</c:v>
                </c:pt>
                <c:pt idx="2" formatCode="0.0">
                  <c:v>11.9</c:v>
                </c:pt>
                <c:pt idx="3" formatCode="0.0">
                  <c:v>11.2</c:v>
                </c:pt>
                <c:pt idx="4" formatCode="0.0">
                  <c:v>3.1</c:v>
                </c:pt>
                <c:pt idx="5" formatCode="0.0">
                  <c:v>9.6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48D4-43F0-87F3-46501AC21269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324"/>
      </c:pieChart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580</Words>
  <Characters>3310</Characters>
  <Application>Microsoft Office Word</Application>
  <DocSecurity>0</DocSecurity>
  <Lines>27</Lines>
  <Paragraphs>7</Paragraphs>
  <ScaleCrop>false</ScaleCrop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Маховский Игорь Александрович</dc:creator>
  <cp:keywords/>
  <dc:description/>
  <cp:lastModifiedBy>Маховский Игорь Александрович</cp:lastModifiedBy>
  <cp:revision>1</cp:revision>
  <dcterms:created xsi:type="dcterms:W3CDTF">2020-09-09T06:22:00Z</dcterms:created>
  <dcterms:modified xsi:type="dcterms:W3CDTF">2020-09-09T06:25:00Z</dcterms:modified>
</cp:coreProperties>
</file>