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29" w:rsidRPr="00D551B7" w:rsidRDefault="00935929" w:rsidP="00935929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бщие итоги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внешней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торговли </w:t>
      </w: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935929" w:rsidRPr="00AB48B5" w:rsidRDefault="00935929" w:rsidP="00935929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январь-сентябрь</w:t>
      </w:r>
      <w:r w:rsidRPr="00AB48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9</w:t>
      </w:r>
      <w:r w:rsidRPr="00AB48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</w:t>
      </w:r>
    </w:p>
    <w:p w:rsidR="00935929" w:rsidRPr="003253FB" w:rsidRDefault="00935929" w:rsidP="00935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тыс. долларов США</w:t>
      </w:r>
    </w:p>
    <w:tbl>
      <w:tblPr>
        <w:tblW w:w="9938" w:type="dxa"/>
        <w:tblInd w:w="93" w:type="dxa"/>
        <w:tblLook w:val="04A0"/>
      </w:tblPr>
      <w:tblGrid>
        <w:gridCol w:w="1840"/>
        <w:gridCol w:w="1294"/>
        <w:gridCol w:w="1417"/>
        <w:gridCol w:w="1276"/>
        <w:gridCol w:w="1276"/>
        <w:gridCol w:w="1417"/>
        <w:gridCol w:w="1418"/>
      </w:tblGrid>
      <w:tr w:rsidR="00935929" w:rsidRPr="006C0279" w:rsidTr="00C8798A">
        <w:trPr>
          <w:trHeight w:val="600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Страна-контрагент            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2018</w:t>
            </w: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2019</w:t>
            </w: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</w:tr>
      <w:tr w:rsidR="00935929" w:rsidRPr="006C0279" w:rsidTr="00C8798A">
        <w:trPr>
          <w:trHeight w:val="1002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квартал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  <w:proofErr w:type="gramStart"/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-с</w:t>
            </w:r>
            <w:proofErr w:type="gramEnd"/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квартал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  <w:proofErr w:type="gramStart"/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-с</w:t>
            </w:r>
            <w:proofErr w:type="gramEnd"/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ентябрь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квартал</w:t>
            </w:r>
          </w:p>
          <w:p w:rsidR="00935929" w:rsidRPr="006C0279" w:rsidRDefault="00935929" w:rsidP="00C879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2019</w:t>
            </w: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/3 квартал 201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935929" w:rsidRPr="006C0279" w:rsidRDefault="00935929" w:rsidP="009359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январь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-с</w:t>
            </w:r>
            <w:proofErr w:type="gramEnd"/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ентябрь 2019</w:t>
            </w:r>
            <w:r w:rsidRPr="006C027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/январь -сентябрь 201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935929" w:rsidRPr="006C0279" w:rsidTr="00C8798A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ТОВАРООБОРОТ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640 920,0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1 835 350,3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505 134,7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1 547 782,1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</w:t>
            </w:r>
          </w:p>
        </w:tc>
      </w:tr>
      <w:tr w:rsidR="00935929" w:rsidRPr="006C0279" w:rsidTr="00C8798A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ЭКСПОРТ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385 279,4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1 143 953,9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905 642,1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</w:t>
            </w:r>
          </w:p>
        </w:tc>
      </w:tr>
      <w:tr w:rsidR="00935929" w:rsidRPr="006C0279" w:rsidTr="00C8798A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ИМПОРТ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255 640,6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691 396,4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218 209,2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642 140,0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</w:t>
            </w:r>
          </w:p>
        </w:tc>
      </w:tr>
      <w:tr w:rsidR="00935929" w:rsidRPr="006C0279" w:rsidTr="00C8798A">
        <w:trPr>
          <w:trHeight w:val="255"/>
        </w:trPr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027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САЛЬДО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129 638,8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86425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68 716,3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6C027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263 502,1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5929" w:rsidRPr="00935929" w:rsidRDefault="00935929" w:rsidP="00C8798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592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ХХХ</w:t>
            </w:r>
          </w:p>
        </w:tc>
      </w:tr>
    </w:tbl>
    <w:p w:rsidR="00935929" w:rsidRPr="00271069" w:rsidRDefault="00935929" w:rsidP="00935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данным таможенной статистики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января-сентября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предприятия и организации, зарегистрированные в Воронежской области, осуществляли торговлю с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116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странами мира. Их количество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уменьшилось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отношению к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аналогичному периоду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4,9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(на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стран).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Внешнеторговый оборот Воронежской области за истекший период составил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1547,8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долларов США и по сравнению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январем-сентябрем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15,7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%.</w:t>
      </w:r>
    </w:p>
    <w:p w:rsidR="00935929" w:rsidRPr="00C976D1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Экспорт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20,8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%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905,6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долларов США за </w:t>
      </w:r>
      <w:r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счет </w:t>
      </w:r>
      <w:r w:rsidR="00216B2D"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снижения</w:t>
      </w:r>
      <w:r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экспортных поставок в страны дальнего зарубежья (ДЗ) на </w:t>
      </w:r>
      <w:r w:rsidR="00216B2D"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24,9</w:t>
      </w:r>
      <w:r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и на </w:t>
      </w:r>
      <w:r w:rsidR="00C976D1"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13,9</w:t>
      </w:r>
      <w:r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% в страны СНГ</w:t>
      </w:r>
      <w:r w:rsidR="00C976D1" w:rsidRP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а также снижения импортных закупок в странах дальнего зарубежья (ДЗ) на 9,1% и в странах СНГ на 1,6%.  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Стоимостные объемы импорта по отношению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январю-сентябрю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уменьшились на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,1 %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составили</w:t>
      </w:r>
      <w:proofErr w:type="gramEnd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642,1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США. 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итогам истекшего периода сальдо торгового баланса </w:t>
      </w:r>
      <w:proofErr w:type="gramStart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сложилось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положительное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составило</w:t>
      </w:r>
      <w:proofErr w:type="gramEnd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263,5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США. </w:t>
      </w:r>
    </w:p>
    <w:p w:rsidR="00935929" w:rsidRPr="00D551B7" w:rsidRDefault="00935929" w:rsidP="00935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929" w:rsidRDefault="00935929" w:rsidP="00935929">
      <w:pPr>
        <w:tabs>
          <w:tab w:val="left" w:pos="113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Итоги </w:t>
      </w:r>
      <w:proofErr w:type="gramStart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внешней</w:t>
      </w:r>
      <w:proofErr w:type="gramEnd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торговли Воронежской области </w:t>
      </w:r>
    </w:p>
    <w:p w:rsidR="00935929" w:rsidRPr="00D551B7" w:rsidRDefault="00935929" w:rsidP="00935929">
      <w:pPr>
        <w:tabs>
          <w:tab w:val="left" w:pos="113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 странами дальнего зарубежья</w:t>
      </w:r>
    </w:p>
    <w:p w:rsidR="00935929" w:rsidRPr="00D551B7" w:rsidRDefault="00935929" w:rsidP="00935929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Товарооборот Воронежской области со странами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ДЗ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январь-сентябрь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составил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1000,5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 и по сравнению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январем-сентябрем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уменьшился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 w:rsidR="0060768E">
        <w:rPr>
          <w:rFonts w:ascii="Times New Roman" w:eastAsia="Times New Roman" w:hAnsi="Times New Roman" w:cs="Times New Roman"/>
          <w:sz w:val="24"/>
          <w:szCs w:val="20"/>
          <w:lang w:eastAsia="ru-RU"/>
        </w:rPr>
        <w:t>18,4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%.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Оборот </w:t>
      </w:r>
      <w:proofErr w:type="gramStart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внешней</w:t>
      </w:r>
      <w:proofErr w:type="gramEnd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торговли со странами ДЗ превышает оборот со странами СНГ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1,8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Экспорт в страны дальнего зарубежья </w:t>
      </w:r>
      <w:proofErr w:type="gramStart"/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уменьшился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4,9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 и составил</w:t>
      </w:r>
      <w:proofErr w:type="gramEnd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539,5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долларов США. Импорт из стран ДЗ составил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460,9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 и по отношению к показателям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января-сентября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уменьшился на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9,1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%.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итогам истекшего периода внешняя торговля со странами дальнего зарубежья характеризуется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положительным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сальдо –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78,6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США.</w:t>
      </w:r>
    </w:p>
    <w:p w:rsidR="00935929" w:rsidRPr="00D551B7" w:rsidRDefault="00935929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Итоги </w:t>
      </w:r>
      <w:proofErr w:type="gramStart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внешней</w:t>
      </w:r>
      <w:proofErr w:type="gramEnd"/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торговли Воронежской области со странами СНГ</w:t>
      </w:r>
    </w:p>
    <w:p w:rsidR="00935929" w:rsidRPr="00D551B7" w:rsidRDefault="00935929" w:rsidP="00935929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Объем </w:t>
      </w:r>
      <w:proofErr w:type="gramStart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внешней</w:t>
      </w:r>
      <w:proofErr w:type="gramEnd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торговли Воронежской области с государствами СНГ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(с учётом стран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- членов ЕАЭС)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январь-сентябрь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составил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547,3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млн. долларов США, что 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0,2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 %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ниже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показателей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>соответствующего периода 201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том числе экспорт – </w:t>
      </w:r>
      <w:r w:rsidR="00883C6E">
        <w:rPr>
          <w:rFonts w:ascii="Times New Roman" w:eastAsia="Times New Roman" w:hAnsi="Times New Roman" w:cs="Times New Roman"/>
          <w:sz w:val="24"/>
          <w:szCs w:val="20"/>
          <w:lang w:eastAsia="ru-RU"/>
        </w:rPr>
        <w:t>366,1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 (</w:t>
      </w:r>
      <w:r w:rsidR="00C15174"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C15174">
        <w:rPr>
          <w:rFonts w:ascii="Times New Roman" w:eastAsia="Times New Roman" w:hAnsi="Times New Roman" w:cs="Times New Roman"/>
          <w:sz w:val="24"/>
          <w:szCs w:val="20"/>
          <w:lang w:eastAsia="ru-RU"/>
        </w:rPr>
        <w:t>13,9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%), импорт – </w:t>
      </w:r>
      <w:r w:rsidR="00C15174">
        <w:rPr>
          <w:rFonts w:ascii="Times New Roman" w:eastAsia="Times New Roman" w:hAnsi="Times New Roman" w:cs="Times New Roman"/>
          <w:sz w:val="24"/>
          <w:szCs w:val="20"/>
          <w:lang w:eastAsia="ru-RU"/>
        </w:rPr>
        <w:t>181,2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 млн. долларов США (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="00C15174">
        <w:rPr>
          <w:rFonts w:ascii="Times New Roman" w:eastAsia="Times New Roman" w:hAnsi="Times New Roman" w:cs="Times New Roman"/>
          <w:sz w:val="24"/>
          <w:szCs w:val="20"/>
          <w:lang w:eastAsia="ru-RU"/>
        </w:rPr>
        <w:t>1,6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%).</w:t>
      </w:r>
    </w:p>
    <w:p w:rsidR="00A76284" w:rsidRDefault="00A76284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стоимости экспорта повлияло, в первую очередь,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уменьшение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вывоза российских товаров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Киргизию (на 15,5% или на 0,5 млн. долларов США), в Казахстан (</w:t>
      </w:r>
      <w:r w:rsidR="00A63262">
        <w:rPr>
          <w:rFonts w:ascii="Times New Roman" w:eastAsia="Times New Roman" w:hAnsi="Times New Roman" w:cs="Times New Roman"/>
          <w:sz w:val="24"/>
          <w:szCs w:val="20"/>
          <w:lang w:eastAsia="ru-RU"/>
        </w:rPr>
        <w:t>на 21,8% или на 7,3 млн. долларов США), в Республику Молдова (в 1,7 раза или на 3,8 млн. долларов США), в Туркменистан (на 10,1% или на 0,4 млн. долларов США), на Украину (на 22,4% или на</w:t>
      </w:r>
      <w:proofErr w:type="gramEnd"/>
      <w:r w:rsidR="00A6326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A6326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61,3 млн. долларов США) и в Узбекистан (на 15,4% или на 4,2 млн. долларов США). </w:t>
      </w:r>
      <w:proofErr w:type="gramEnd"/>
    </w:p>
    <w:p w:rsidR="00743116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Снижение стоимостных объёмов импорта обусловлено, в основном, сокращением поставок из </w:t>
      </w:r>
      <w:r w:rsidR="00743116">
        <w:rPr>
          <w:rFonts w:ascii="Times New Roman" w:eastAsia="Times New Roman" w:hAnsi="Times New Roman" w:cs="Times New Roman"/>
          <w:sz w:val="24"/>
          <w:szCs w:val="20"/>
          <w:lang w:eastAsia="ru-RU"/>
        </w:rPr>
        <w:t>Республики Беларусь (на 1,9% или на 2,6 млн. долларов США), из Республики Молдова (на 28,3% или на 0,09 млн. долларов США), из Таджикистана (импорт не осуществлялся, в январе-сентябре 2018 года – 3,6 тыс. долларов США), из Туркменистана (импорт не осуществлялся</w:t>
      </w:r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0E1E9A" w:rsidRP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в январе-сентябре 2018 года – 0,2 млн. долларов США</w:t>
      </w:r>
      <w:r w:rsidR="00743116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, из Украины (на</w:t>
      </w:r>
      <w:proofErr w:type="gramEnd"/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9,4% или на 3,9 млн. долларов США) и Узбекистана (в 1,9 раза или на 0,4 млн. долларов США).</w:t>
      </w:r>
      <w:proofErr w:type="gramEnd"/>
    </w:p>
    <w:p w:rsidR="00935929" w:rsidRPr="00D551B7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Сальдо торгового баланса сложилось положительное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составило </w:t>
      </w:r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184,9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>млн. долларов США.</w:t>
      </w:r>
    </w:p>
    <w:p w:rsidR="00935929" w:rsidRPr="00D551B7" w:rsidRDefault="00935929" w:rsidP="00935929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торговые партнеры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935929" w:rsidRPr="00D551B7" w:rsidRDefault="00935929" w:rsidP="00935929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7ADA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Основными торговыми партнерами Воронежской области 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январе-сентябре</w:t>
      </w:r>
      <w:proofErr w:type="gramEnd"/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0E1E9A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AB48B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</w:t>
      </w:r>
      <w:r w:rsidRPr="00D551B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были: </w:t>
      </w:r>
      <w:proofErr w:type="gramStart"/>
      <w:r w:rsidR="00F57ADA">
        <w:rPr>
          <w:rFonts w:ascii="Times New Roman" w:eastAsia="Times New Roman" w:hAnsi="Times New Roman" w:cs="Times New Roman"/>
          <w:sz w:val="24"/>
          <w:szCs w:val="20"/>
          <w:lang w:eastAsia="ru-RU"/>
        </w:rPr>
        <w:t>Украина – 16,1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 от всего товарооборота субъекта Российской Ф</w:t>
      </w:r>
      <w:r w:rsidR="00F57ADA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 (в январе-сентябре 2018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– </w:t>
      </w:r>
      <w:r w:rsidR="00F57ADA">
        <w:rPr>
          <w:rFonts w:ascii="Times New Roman" w:eastAsia="Times New Roman" w:hAnsi="Times New Roman" w:cs="Times New Roman"/>
          <w:sz w:val="24"/>
          <w:szCs w:val="20"/>
          <w:lang w:eastAsia="ru-RU"/>
        </w:rPr>
        <w:t>17,2%), Беларусь – 12,1% (9,5%), Китай – 8,7% (7,4%), Германия – 6,5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% (6,1%), </w:t>
      </w:r>
      <w:r w:rsidR="00F57AD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Польша – 5,5% (4,7%), Египет – 3,7% (3,1%), Турция – 3,2% 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(-</w:t>
      </w:r>
      <w:r w:rsidR="00F57AD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Латвия – 2,6% (3,9%), Казахстан – 2,2% (2,1%), Нидерланды 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>– 1,7% (2,8%), Швейцария – 1,7%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>), Азербайджан – 1,7%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>), США – 1,6%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</w:t>
      </w:r>
      <w:r w:rsidR="005201D2">
        <w:rPr>
          <w:rFonts w:ascii="Times New Roman" w:eastAsia="Times New Roman" w:hAnsi="Times New Roman" w:cs="Times New Roman"/>
          <w:sz w:val="24"/>
          <w:szCs w:val="20"/>
          <w:lang w:eastAsia="ru-RU"/>
        </w:rPr>
        <w:t>Узбекистан – 1,5%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5201D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>Франция – 1,4%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3008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Швеция – </w:t>
      </w:r>
      <w:r w:rsidR="005201D2">
        <w:rPr>
          <w:rFonts w:ascii="Times New Roman" w:eastAsia="Times New Roman" w:hAnsi="Times New Roman" w:cs="Times New Roman"/>
          <w:sz w:val="24"/>
          <w:szCs w:val="20"/>
          <w:lang w:eastAsia="ru-RU"/>
        </w:rPr>
        <w:t>1,4 (</w:t>
      </w:r>
      <w:r w:rsidR="00C976D1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5201D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). </w:t>
      </w:r>
      <w:proofErr w:type="gramEnd"/>
    </w:p>
    <w:p w:rsidR="00935929" w:rsidRPr="00EB556B" w:rsidRDefault="00935929" w:rsidP="00935929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53150" cy="2819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35929" w:rsidRDefault="00935929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35929" w:rsidRPr="0015630D" w:rsidRDefault="00935929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ЭКСПОРТА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:rsidR="00935929" w:rsidRDefault="00935929" w:rsidP="009359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53150" cy="43624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76D1" w:rsidRDefault="00C976D1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35929" w:rsidRDefault="00935929" w:rsidP="00935929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51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ИМПОРТА Воронежской области</w:t>
      </w:r>
    </w:p>
    <w:p w:rsidR="00935929" w:rsidRDefault="00935929" w:rsidP="00935929">
      <w:pPr>
        <w:tabs>
          <w:tab w:val="left" w:pos="1134"/>
        </w:tabs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448300" cy="43815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D7417" w:rsidRDefault="00BD7417"/>
    <w:sectPr w:rsidR="00BD7417" w:rsidSect="00F833B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35929"/>
    <w:rsid w:val="000E1E9A"/>
    <w:rsid w:val="0012476E"/>
    <w:rsid w:val="00216B2D"/>
    <w:rsid w:val="00300803"/>
    <w:rsid w:val="005201D2"/>
    <w:rsid w:val="0060768E"/>
    <w:rsid w:val="00743116"/>
    <w:rsid w:val="00883C6E"/>
    <w:rsid w:val="00935929"/>
    <w:rsid w:val="009E1126"/>
    <w:rsid w:val="00A63262"/>
    <w:rsid w:val="00A76284"/>
    <w:rsid w:val="00BD7417"/>
    <w:rsid w:val="00C15174"/>
    <w:rsid w:val="00C976D1"/>
    <w:rsid w:val="00E357FB"/>
    <w:rsid w:val="00F5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sideWall>
      <c:spPr>
        <a:noFill/>
        <a:ln w="25400">
          <a:noFill/>
        </a:ln>
      </c:spPr>
    </c:sideWall>
    <c:backWall>
      <c:spPr>
        <a:noFill/>
      </c:spPr>
    </c:backWall>
    <c:plotArea>
      <c:layout>
        <c:manualLayout>
          <c:layoutTarget val="inner"/>
          <c:xMode val="edge"/>
          <c:yMode val="edge"/>
          <c:x val="0.11448087501566361"/>
          <c:y val="7.0276242805633424E-2"/>
          <c:w val="0.8710262799428552"/>
          <c:h val="0.58273895568669498"/>
        </c:manualLayout>
      </c:layout>
      <c:bar3DChart>
        <c:barDir val="col"/>
        <c:grouping val="clustered"/>
        <c:ser>
          <c:idx val="2"/>
          <c:order val="0"/>
          <c:tx>
            <c:strRef>
              <c:f>график!$D$2</c:f>
              <c:strCache>
                <c:ptCount val="1"/>
                <c:pt idx="0">
                  <c:v>Оборот</c:v>
                </c:pt>
              </c:strCache>
            </c:strRef>
          </c:tx>
          <c:spPr>
            <a:gradFill flip="none" rotWithShape="1">
              <a:gsLst>
                <a:gs pos="0">
                  <a:srgbClr val="DDEBCF">
                    <a:lumMod val="8000"/>
                    <a:lumOff val="92000"/>
                  </a:srgbClr>
                </a:gs>
                <a:gs pos="50000">
                  <a:srgbClr val="9CB86E"/>
                </a:gs>
                <a:gs pos="100000">
                  <a:srgbClr val="156B13"/>
                </a:gs>
              </a:gsLst>
              <a:path path="shape">
                <a:fillToRect l="50000" t="50000" r="50000" b="50000"/>
              </a:path>
              <a:tileRect/>
            </a:gradFill>
            <a:ln>
              <a:noFill/>
            </a:ln>
            <a:scene3d>
              <a:camera prst="orthographicFront"/>
              <a:lightRig rig="morning" dir="t"/>
            </a:scene3d>
            <a:sp3d prstMaterial="dkEdge"/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ЕГИПЕТ</c:v>
                </c:pt>
                <c:pt idx="6">
                  <c:v>ТУРЦИЯ</c:v>
                </c:pt>
                <c:pt idx="7">
                  <c:v>ЛАТВИЯ</c:v>
                </c:pt>
                <c:pt idx="8">
                  <c:v>КАЗАХСТАН</c:v>
                </c:pt>
                <c:pt idx="9">
                  <c:v>НИДЕРЛАНДЫ</c:v>
                </c:pt>
              </c:strCache>
            </c:strRef>
          </c:cat>
          <c:val>
            <c:numRef>
              <c:f>график!$D$5:$D$14</c:f>
              <c:numCache>
                <c:formatCode>#,##0</c:formatCode>
                <c:ptCount val="10"/>
                <c:pt idx="0">
                  <c:v>249762.7</c:v>
                </c:pt>
                <c:pt idx="1">
                  <c:v>186886.5</c:v>
                </c:pt>
                <c:pt idx="2">
                  <c:v>135048.70000000001</c:v>
                </c:pt>
                <c:pt idx="3">
                  <c:v>101320.3</c:v>
                </c:pt>
                <c:pt idx="4">
                  <c:v>85524.6</c:v>
                </c:pt>
                <c:pt idx="5">
                  <c:v>57043.3</c:v>
                </c:pt>
                <c:pt idx="6">
                  <c:v>49969.1</c:v>
                </c:pt>
                <c:pt idx="7">
                  <c:v>39961.5</c:v>
                </c:pt>
                <c:pt idx="8">
                  <c:v>33713</c:v>
                </c:pt>
                <c:pt idx="9">
                  <c:v>26297.1</c:v>
                </c:pt>
              </c:numCache>
            </c:numRef>
          </c:val>
        </c:ser>
        <c:ser>
          <c:idx val="0"/>
          <c:order val="1"/>
          <c:tx>
            <c:strRef>
              <c:f>график!$B$2</c:f>
              <c:strCache>
                <c:ptCount val="1"/>
                <c:pt idx="0">
                  <c:v>Экспорт</c:v>
                </c:pt>
              </c:strCache>
            </c:strRef>
          </c:tx>
          <c:spPr>
            <a:gradFill flip="none" rotWithShape="1">
              <a:gsLst>
                <a:gs pos="0">
                  <a:srgbClr val="000082"/>
                </a:gs>
                <a:gs pos="52000">
                  <a:srgbClr val="0047FF"/>
                </a:gs>
                <a:gs pos="100000">
                  <a:srgbClr val="0047FF"/>
                </a:gs>
              </a:gsLst>
              <a:lin ang="2700000" scaled="1"/>
              <a:tileRect/>
            </a:gradFill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ЕГИПЕТ</c:v>
                </c:pt>
                <c:pt idx="6">
                  <c:v>ТУРЦИЯ</c:v>
                </c:pt>
                <c:pt idx="7">
                  <c:v>ЛАТВИЯ</c:v>
                </c:pt>
                <c:pt idx="8">
                  <c:v>КАЗАХСТАН</c:v>
                </c:pt>
                <c:pt idx="9">
                  <c:v>НИДЕРЛАНДЫ</c:v>
                </c:pt>
              </c:strCache>
            </c:strRef>
          </c:cat>
          <c:val>
            <c:numRef>
              <c:f>график!$B$5:$B$14</c:f>
              <c:numCache>
                <c:formatCode>#,##0</c:formatCode>
                <c:ptCount val="10"/>
                <c:pt idx="0">
                  <c:v>211973.9</c:v>
                </c:pt>
                <c:pt idx="1">
                  <c:v>54815.7</c:v>
                </c:pt>
                <c:pt idx="2">
                  <c:v>14843.4</c:v>
                </c:pt>
                <c:pt idx="3">
                  <c:v>22333</c:v>
                </c:pt>
                <c:pt idx="4">
                  <c:v>55668.9</c:v>
                </c:pt>
                <c:pt idx="5">
                  <c:v>24617.200000000001</c:v>
                </c:pt>
                <c:pt idx="6">
                  <c:v>39806.6</c:v>
                </c:pt>
                <c:pt idx="7">
                  <c:v>38240.1</c:v>
                </c:pt>
                <c:pt idx="8">
                  <c:v>26160.1</c:v>
                </c:pt>
                <c:pt idx="9">
                  <c:v>9830.4</c:v>
                </c:pt>
              </c:numCache>
            </c:numRef>
          </c:val>
        </c:ser>
        <c:ser>
          <c:idx val="1"/>
          <c:order val="2"/>
          <c:tx>
            <c:strRef>
              <c:f>график!$C$2</c:f>
              <c:strCache>
                <c:ptCount val="1"/>
                <c:pt idx="0">
                  <c:v>Импорт</c:v>
                </c:pt>
              </c:strCache>
            </c:strRef>
          </c:tx>
          <c:spPr>
            <a:gradFill flip="none" rotWithShape="1">
              <a:gsLst>
                <a:gs pos="0">
                  <a:srgbClr val="FFF200"/>
                </a:gs>
                <a:gs pos="81000">
                  <a:srgbClr val="FF0300"/>
                </a:gs>
                <a:gs pos="100000">
                  <a:srgbClr val="4D0808"/>
                </a:gs>
              </a:gsLst>
              <a:lin ang="2700000" scaled="1"/>
              <a:tileRect/>
            </a:gradFill>
          </c:spPr>
          <c:cat>
            <c:strRef>
              <c:f>график!$A$5:$A$14</c:f>
              <c:strCache>
                <c:ptCount val="10"/>
                <c:pt idx="0">
                  <c:v>УКРАИНА</c:v>
                </c:pt>
                <c:pt idx="1">
                  <c:v>БЕЛАРУСЬ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ЕГИПЕТ</c:v>
                </c:pt>
                <c:pt idx="6">
                  <c:v>ТУРЦИЯ</c:v>
                </c:pt>
                <c:pt idx="7">
                  <c:v>ЛАТВИЯ</c:v>
                </c:pt>
                <c:pt idx="8">
                  <c:v>КАЗАХСТАН</c:v>
                </c:pt>
                <c:pt idx="9">
                  <c:v>НИДЕРЛАНДЫ</c:v>
                </c:pt>
              </c:strCache>
            </c:strRef>
          </c:cat>
          <c:val>
            <c:numRef>
              <c:f>график!$C$5:$C$14</c:f>
              <c:numCache>
                <c:formatCode>#,##0</c:formatCode>
                <c:ptCount val="10"/>
                <c:pt idx="0">
                  <c:v>37788.800000000003</c:v>
                </c:pt>
                <c:pt idx="1">
                  <c:v>132070.79999999999</c:v>
                </c:pt>
                <c:pt idx="2">
                  <c:v>120205.3</c:v>
                </c:pt>
                <c:pt idx="3">
                  <c:v>78987.3</c:v>
                </c:pt>
                <c:pt idx="4">
                  <c:v>29855.7</c:v>
                </c:pt>
                <c:pt idx="5">
                  <c:v>35.1</c:v>
                </c:pt>
                <c:pt idx="6">
                  <c:v>10162.5</c:v>
                </c:pt>
                <c:pt idx="7">
                  <c:v>1721.4</c:v>
                </c:pt>
                <c:pt idx="8">
                  <c:v>7552.9</c:v>
                </c:pt>
                <c:pt idx="9">
                  <c:v>16466.7</c:v>
                </c:pt>
              </c:numCache>
            </c:numRef>
          </c:val>
        </c:ser>
        <c:gapWidth val="70"/>
        <c:gapDepth val="102"/>
        <c:shape val="cylinder"/>
        <c:axId val="139834880"/>
        <c:axId val="139857920"/>
        <c:axId val="0"/>
      </c:bar3DChart>
      <c:catAx>
        <c:axId val="139834880"/>
        <c:scaling>
          <c:orientation val="minMax"/>
        </c:scaling>
        <c:axPos val="b"/>
        <c:tickLblPos val="nextTo"/>
        <c:spPr>
          <a:noFill/>
        </c:spPr>
        <c:txPr>
          <a:bodyPr/>
          <a:lstStyle/>
          <a:p>
            <a:pPr>
              <a:defRPr sz="800" baseline="0"/>
            </a:pPr>
            <a:endParaRPr lang="ru-RU"/>
          </a:p>
        </c:txPr>
        <c:crossAx val="139857920"/>
        <c:crosses val="autoZero"/>
        <c:auto val="1"/>
        <c:lblAlgn val="ctr"/>
        <c:lblOffset val="100"/>
      </c:catAx>
      <c:valAx>
        <c:axId val="139857920"/>
        <c:scaling>
          <c:orientation val="minMax"/>
          <c:max val="500000"/>
        </c:scaling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ru-RU" sz="1100"/>
                  <a:t>тыс. долларов США</a:t>
                </a:r>
              </a:p>
            </c:rich>
          </c:tx>
          <c:layout>
            <c:manualLayout>
              <c:xMode val="edge"/>
              <c:yMode val="edge"/>
              <c:x val="5.4262430370952104E-3"/>
              <c:y val="0.17824622883678043"/>
            </c:manualLayout>
          </c:layout>
        </c:title>
        <c:numFmt formatCode="#,##0" sourceLinked="1"/>
        <c:tickLblPos val="nextTo"/>
        <c:crossAx val="139834880"/>
        <c:crosses val="autoZero"/>
        <c:crossBetween val="between"/>
      </c:valAx>
    </c:plotArea>
    <c:legend>
      <c:legendPos val="t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22094659053694282"/>
          <c:y val="1.1665366984586499E-2"/>
          <c:w val="0.6631756473478817"/>
          <c:h val="0.97926894167877265"/>
        </c:manualLayout>
      </c:layout>
      <c:pieChart>
        <c:varyColors val="1"/>
        <c:ser>
          <c:idx val="0"/>
          <c:order val="0"/>
          <c:explosion val="3"/>
          <c:dPt>
            <c:idx val="1"/>
            <c:explosion val="2"/>
          </c:dPt>
          <c:dPt>
            <c:idx val="2"/>
            <c:explosion val="0"/>
          </c:dPt>
          <c:dPt>
            <c:idx val="3"/>
            <c:explosion val="0"/>
          </c:dPt>
          <c:dPt>
            <c:idx val="4"/>
            <c:explosion val="0"/>
          </c:dPt>
          <c:dLbls>
            <c:dLbl>
              <c:idx val="0"/>
              <c:layout>
                <c:manualLayout>
                  <c:x val="-0.22302591922845061"/>
                  <c:y val="0.20768436835217291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1"/>
              <c:layout>
                <c:manualLayout>
                  <c:x val="-2.3869562744285443E-2"/>
                  <c:y val="-0.23438664053456201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4"/>
              <c:layout>
                <c:manualLayout>
                  <c:x val="6.0277275467148887E-3"/>
                  <c:y val="-3.2636115026770163E-2"/>
                </c:manualLayout>
              </c:layout>
              <c:dLblPos val="bestFit"/>
              <c:showLegendKey val="1"/>
              <c:showCatName val="1"/>
            </c:dLbl>
            <c:dLblPos val="outEnd"/>
            <c:showLegendKey val="1"/>
            <c:showCatName val="1"/>
          </c:dLbls>
          <c:cat>
            <c:strRef>
              <c:f>Экспорт!$D$17:$D$22</c:f>
              <c:strCache>
                <c:ptCount val="5"/>
                <c:pt idx="0">
                  <c:v>Продукция химической промышленности, каучук - 49,1%</c:v>
                </c:pt>
                <c:pt idx="1">
                  <c:v>Продовольственные товары и сырье - 38,2%</c:v>
                </c:pt>
                <c:pt idx="2">
                  <c:v>Машиностроительная продукция - 6,5%</c:v>
                </c:pt>
                <c:pt idx="3">
                  <c:v>Минеральные продукты - 0,3%</c:v>
                </c:pt>
                <c:pt idx="4">
                  <c:v>Прочие товары</c:v>
                </c:pt>
              </c:strCache>
            </c:strRef>
          </c:cat>
          <c:val>
            <c:numRef>
              <c:f>Экспорт!$E$17:$E$21</c:f>
              <c:numCache>
                <c:formatCode>General</c:formatCode>
                <c:ptCount val="5"/>
                <c:pt idx="0">
                  <c:v>49.1</c:v>
                </c:pt>
                <c:pt idx="1">
                  <c:v>38.200000000000003</c:v>
                </c:pt>
                <c:pt idx="2">
                  <c:v>6.5</c:v>
                </c:pt>
                <c:pt idx="3">
                  <c:v>0.30000000000000004</c:v>
                </c:pt>
                <c:pt idx="4">
                  <c:v>1.3</c:v>
                </c:pt>
              </c:numCache>
            </c:numRef>
          </c:val>
        </c:ser>
        <c:dLbls>
          <c:showVal val="1"/>
        </c:dLbls>
        <c:firstSliceAng val="286"/>
      </c:pie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23270924883498648"/>
          <c:y val="6.2067860955385648E-2"/>
          <c:w val="0.67765380895456651"/>
          <c:h val="0.85192519495131525"/>
        </c:manualLayout>
      </c:layout>
      <c:pieChart>
        <c:varyColors val="1"/>
        <c:ser>
          <c:idx val="0"/>
          <c:order val="0"/>
          <c:dPt>
            <c:idx val="0"/>
            <c:explosion val="4"/>
          </c:dPt>
          <c:dLbls>
            <c:dLbl>
              <c:idx val="0"/>
              <c:layout>
                <c:manualLayout>
                  <c:x val="-0.18055385628471418"/>
                  <c:y val="0.15685075984975397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>
              <c:idx val="1"/>
              <c:layout>
                <c:manualLayout>
                  <c:x val="-0.19358717398087477"/>
                  <c:y val="-0.25874152687435809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ru-RU"/>
                </a:p>
              </c:txPr>
              <c:dLblPos val="bestFit"/>
              <c:showLegendKey val="1"/>
              <c:showCatName val="1"/>
            </c:dLbl>
            <c:dLblPos val="outEnd"/>
            <c:showLegendKey val="1"/>
            <c:showCatName val="1"/>
          </c:dLbls>
          <c:cat>
            <c:strRef>
              <c:f>Импорт!$D$17:$D$21</c:f>
              <c:strCache>
                <c:ptCount val="5"/>
                <c:pt idx="0">
                  <c:v> Машиностроительная продукция - 40,6%</c:v>
                </c:pt>
                <c:pt idx="1">
                  <c:v> Продовольственные товары и сырье - 21,3%</c:v>
                </c:pt>
                <c:pt idx="2">
                  <c:v> Металлы и изделия из них - 14,6%</c:v>
                </c:pt>
                <c:pt idx="3">
                  <c:v> Продукция химической промышленности, каучук - 11,2%</c:v>
                </c:pt>
                <c:pt idx="4">
                  <c:v> Прочие товары - 6,3%</c:v>
                </c:pt>
              </c:strCache>
            </c:strRef>
          </c:cat>
          <c:val>
            <c:numRef>
              <c:f>Импорт!$E$17:$E$21</c:f>
              <c:numCache>
                <c:formatCode>0.0</c:formatCode>
                <c:ptCount val="5"/>
                <c:pt idx="0">
                  <c:v>40.6</c:v>
                </c:pt>
                <c:pt idx="1">
                  <c:v>21.3</c:v>
                </c:pt>
                <c:pt idx="2">
                  <c:v>14.6</c:v>
                </c:pt>
                <c:pt idx="3">
                  <c:v>11.2</c:v>
                </c:pt>
                <c:pt idx="4">
                  <c:v>6.3</c:v>
                </c:pt>
              </c:numCache>
            </c:numRef>
          </c:val>
        </c:ser>
        <c:dLbls>
          <c:showVal val="1"/>
        </c:dLbls>
        <c:firstSliceAng val="320"/>
      </c:pie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imahovskiy</dc:creator>
  <cp:lastModifiedBy>imahovskiy</cp:lastModifiedBy>
  <cp:revision>1</cp:revision>
  <dcterms:created xsi:type="dcterms:W3CDTF">2019-11-12T09:44:00Z</dcterms:created>
  <dcterms:modified xsi:type="dcterms:W3CDTF">2019-11-12T13:08:00Z</dcterms:modified>
</cp:coreProperties>
</file>