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FC" w:rsidRPr="00D551B7" w:rsidRDefault="000B0EFC" w:rsidP="000B0EFC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бщие итоги внешней торговли </w:t>
      </w: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0B0EFC" w:rsidRPr="00AB48B5" w:rsidRDefault="000B0EFC" w:rsidP="000B0EFC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январь-декабрь</w:t>
      </w:r>
      <w:r w:rsidRPr="00AB48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</w:t>
      </w:r>
    </w:p>
    <w:tbl>
      <w:tblPr>
        <w:tblW w:w="9373" w:type="dxa"/>
        <w:tblInd w:w="93" w:type="dxa"/>
        <w:tblLook w:val="04A0"/>
      </w:tblPr>
      <w:tblGrid>
        <w:gridCol w:w="1716"/>
        <w:gridCol w:w="1276"/>
        <w:gridCol w:w="1276"/>
        <w:gridCol w:w="1276"/>
        <w:gridCol w:w="1275"/>
        <w:gridCol w:w="1276"/>
        <w:gridCol w:w="1278"/>
      </w:tblGrid>
      <w:tr w:rsidR="000B0EFC" w:rsidRPr="000B0EFC" w:rsidTr="000B0EFC">
        <w:trPr>
          <w:trHeight w:val="255"/>
        </w:trPr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0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долларов США</w:t>
            </w:r>
          </w:p>
        </w:tc>
      </w:tr>
      <w:tr w:rsidR="000B0EFC" w:rsidRPr="000B0EFC" w:rsidTr="000B0EFC">
        <w:trPr>
          <w:trHeight w:val="600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Страна-контрагент            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</w:tr>
      <w:tr w:rsidR="000B0EFC" w:rsidRPr="000B0EFC" w:rsidTr="000B0EFC">
        <w:trPr>
          <w:trHeight w:val="860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январь -декабрь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январь -декабрь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квартал 2018/4 квартал 2017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январь -декабрь 2018/январь -декабрь 2017</w:t>
            </w:r>
          </w:p>
        </w:tc>
      </w:tr>
      <w:tr w:rsidR="000B0EFC" w:rsidRPr="000B0EFC" w:rsidTr="000B0EF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ТОВАРООБОРОТ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612034,8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2624033,6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2497356,4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</w:t>
            </w:r>
          </w:p>
        </w:tc>
      </w:tr>
      <w:tr w:rsidR="000B0EFC" w:rsidRPr="000B0EFC" w:rsidTr="000B0EF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ЭКСПОРТ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388363,1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1316734,7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425158,9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1570379,4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</w:tr>
      <w:tr w:rsidR="000B0EFC" w:rsidRPr="000B0EFC" w:rsidTr="000B0EF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ИМПОРТ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223671,7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1307298,9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234956,1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</w:t>
            </w:r>
          </w:p>
        </w:tc>
      </w:tr>
      <w:tr w:rsidR="000B0EFC" w:rsidRPr="000B0EFC" w:rsidTr="000B0EFC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САЛЬДО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D46B3D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190202,8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FC" w:rsidRPr="000B0EFC" w:rsidRDefault="000B0EFC" w:rsidP="000B0E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B0E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ХХХ</w:t>
            </w:r>
          </w:p>
        </w:tc>
      </w:tr>
    </w:tbl>
    <w:p w:rsidR="000B0EFC" w:rsidRPr="000B0EFC" w:rsidRDefault="000B0EFC" w:rsidP="000B0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данным таможенной статистики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января-декабря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 и организации, зарегистрированные в Воронежской области, осуществляли торговлю с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124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странами мира. Их количество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увеличилось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отношению к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аналогичному периоду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1,6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(на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стран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ы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).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Внешнеторговый оборот Воронежской области за истекший период составил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2497,4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долларов США и по сравнению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январем-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декабрём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4,8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%.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Экспорт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увеличился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D46B3D">
        <w:rPr>
          <w:rFonts w:ascii="Times New Roman" w:eastAsia="Times New Roman" w:hAnsi="Times New Roman" w:cs="Times New Roman"/>
          <w:sz w:val="24"/>
          <w:szCs w:val="20"/>
          <w:lang w:eastAsia="ru-RU"/>
        </w:rPr>
        <w:t>19,3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%</w:t>
      </w:r>
      <w:r w:rsidR="009B1610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1570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долларов США за счет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экспортных поставок в страны дальнего зарубежья (ДЗ)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19,2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 w:rsidR="00EF6000">
        <w:rPr>
          <w:rFonts w:ascii="Times New Roman" w:eastAsia="Times New Roman" w:hAnsi="Times New Roman" w:cs="Times New Roman"/>
          <w:sz w:val="24"/>
          <w:szCs w:val="20"/>
          <w:lang w:eastAsia="ru-RU"/>
        </w:rPr>
        <w:t>19,4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 в страны СНГ.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Стоимостные объемы импорта по отношению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январю-</w:t>
      </w:r>
      <w:r w:rsidR="009B1610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декабрю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 года уменьшились на </w:t>
      </w:r>
      <w:r w:rsidR="009B1610">
        <w:rPr>
          <w:rFonts w:ascii="Times New Roman" w:eastAsia="Times New Roman" w:hAnsi="Times New Roman" w:cs="Times New Roman"/>
          <w:sz w:val="24"/>
          <w:szCs w:val="20"/>
          <w:lang w:eastAsia="ru-RU"/>
        </w:rPr>
        <w:t>29,2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%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составили </w:t>
      </w:r>
      <w:r w:rsidR="009B1610">
        <w:rPr>
          <w:rFonts w:ascii="Times New Roman" w:eastAsia="Times New Roman" w:hAnsi="Times New Roman" w:cs="Times New Roman"/>
          <w:sz w:val="24"/>
          <w:szCs w:val="20"/>
          <w:lang w:eastAsia="ru-RU"/>
        </w:rPr>
        <w:t>927,0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США. 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итогам истекшего периода сальдо торгового баланса сложилось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положительное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составило 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>643,4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США. </w:t>
      </w:r>
    </w:p>
    <w:p w:rsidR="004714CB" w:rsidRDefault="004714CB" w:rsidP="000B0EFC">
      <w:pPr>
        <w:tabs>
          <w:tab w:val="left" w:pos="113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0EFC" w:rsidRDefault="000B0EFC" w:rsidP="000B0EFC">
      <w:pPr>
        <w:tabs>
          <w:tab w:val="left" w:pos="113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Итоги внешней торговли Воронежской области </w:t>
      </w:r>
    </w:p>
    <w:p w:rsidR="000B0EFC" w:rsidRPr="00D551B7" w:rsidRDefault="000B0EFC" w:rsidP="000B0EFC">
      <w:pPr>
        <w:tabs>
          <w:tab w:val="left" w:pos="113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 странами дальнего зарубежья</w:t>
      </w:r>
    </w:p>
    <w:p w:rsidR="000B0EFC" w:rsidRPr="00D551B7" w:rsidRDefault="000B0EFC" w:rsidP="000B0EFC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Товарооборот Воронежской области со странами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ДЗ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январь-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декабрь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 </w:t>
      </w:r>
      <w:r w:rsidR="004801F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составил </w:t>
      </w:r>
      <w:r w:rsidR="0008258B">
        <w:rPr>
          <w:rFonts w:ascii="Times New Roman" w:eastAsia="Times New Roman" w:hAnsi="Times New Roman" w:cs="Times New Roman"/>
          <w:sz w:val="24"/>
          <w:szCs w:val="20"/>
          <w:lang w:eastAsia="ru-RU"/>
        </w:rPr>
        <w:t>1679,5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 и по сравнению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январем-</w:t>
      </w:r>
      <w:r w:rsidR="000825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декабрём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уменьшился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0,8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Оборот внешней торговли со странами ДЗ превышает оборот со странами СНГ</w:t>
      </w:r>
      <w:r w:rsidR="000825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2,1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Экспорт в страны дальнего зарубежья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увеличился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08258B">
        <w:rPr>
          <w:rFonts w:ascii="Times New Roman" w:eastAsia="Times New Roman" w:hAnsi="Times New Roman" w:cs="Times New Roman"/>
          <w:sz w:val="24"/>
          <w:szCs w:val="20"/>
          <w:lang w:eastAsia="ru-RU"/>
        </w:rPr>
        <w:t>19,2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%</w:t>
      </w:r>
      <w:r w:rsidR="0008258B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999,0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долларов США. Импорт из стран ДЗ составил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680553,7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 и по отношению к показателям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января-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декабря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уменьшился на 34,8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%.</w:t>
      </w: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 итогам истекшего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года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внешняя торговля со странами дальнего зарубежья характеризуется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положительным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сальдо –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318,4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США.</w:t>
      </w:r>
    </w:p>
    <w:p w:rsidR="004714CB" w:rsidRDefault="004714CB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0EFC" w:rsidRPr="00D551B7" w:rsidRDefault="000B0EF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Итоги внешней торговли Воронежской области со странами СНГ</w:t>
      </w:r>
    </w:p>
    <w:p w:rsidR="000B0EFC" w:rsidRPr="00D551B7" w:rsidRDefault="000B0EFC" w:rsidP="000B0EFC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B0EFC" w:rsidRPr="00D551B7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Объем внешней торговли Воронежской области с государствами СНГ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(с учётом стран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членов ЕАЭС)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январь-декабрь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составил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817,8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США, что на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 %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больше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показателей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соответствующего периода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том числе экспорт –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571,4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19,4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 %), импорт – </w:t>
      </w:r>
      <w:r w:rsidR="00710B15">
        <w:rPr>
          <w:rFonts w:ascii="Times New Roman" w:eastAsia="Times New Roman" w:hAnsi="Times New Roman" w:cs="Times New Roman"/>
          <w:sz w:val="24"/>
          <w:szCs w:val="20"/>
          <w:lang w:eastAsia="ru-RU"/>
        </w:rPr>
        <w:t>246,4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млн. долларов США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D16366">
        <w:rPr>
          <w:rFonts w:ascii="Times New Roman" w:eastAsia="Times New Roman" w:hAnsi="Times New Roman" w:cs="Times New Roman"/>
          <w:sz w:val="24"/>
          <w:szCs w:val="20"/>
          <w:lang w:eastAsia="ru-RU"/>
        </w:rPr>
        <w:t>6,3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%).</w:t>
      </w:r>
    </w:p>
    <w:p w:rsidR="00D16366" w:rsidRDefault="000B0EFC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</w:t>
      </w:r>
      <w:r w:rsidR="009B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стоимости экспорта повлияло,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первую очередь,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увеличение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вывоза российских товаров </w:t>
      </w:r>
      <w:r w:rsidR="00D163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Украину (в 1,4 раза или на 103,2 млн. долл. США), </w:t>
      </w:r>
      <w:r w:rsidR="009B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Республику Беларусь (в 1,2 раза или на 10,1 млн. долл. США), </w:t>
      </w:r>
      <w:r w:rsidR="00D16366">
        <w:rPr>
          <w:rFonts w:ascii="Times New Roman" w:eastAsia="Times New Roman" w:hAnsi="Times New Roman" w:cs="Times New Roman"/>
          <w:sz w:val="24"/>
          <w:szCs w:val="20"/>
          <w:lang w:eastAsia="ru-RU"/>
        </w:rPr>
        <w:t>в Армени</w:t>
      </w:r>
      <w:r w:rsidR="009B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ю </w:t>
      </w:r>
      <w:r w:rsidR="00D16366">
        <w:rPr>
          <w:rFonts w:ascii="Times New Roman" w:eastAsia="Times New Roman" w:hAnsi="Times New Roman" w:cs="Times New Roman"/>
          <w:sz w:val="24"/>
          <w:szCs w:val="20"/>
          <w:lang w:eastAsia="ru-RU"/>
        </w:rPr>
        <w:t>(в 1,3 раза или на 1</w:t>
      </w:r>
      <w:r w:rsidR="001B5247">
        <w:rPr>
          <w:rFonts w:ascii="Times New Roman" w:eastAsia="Times New Roman" w:hAnsi="Times New Roman" w:cs="Times New Roman"/>
          <w:sz w:val="24"/>
          <w:szCs w:val="20"/>
          <w:lang w:eastAsia="ru-RU"/>
        </w:rPr>
        <w:t>,0</w:t>
      </w:r>
      <w:r w:rsidR="00D163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млн. долл. США)</w:t>
      </w:r>
      <w:r w:rsidR="009B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Казахстан (на 0,1% или на 0,4 млн. долл. США).</w:t>
      </w:r>
    </w:p>
    <w:p w:rsidR="00D16366" w:rsidRDefault="009B1C22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Снижение стоимостных объёмов импорта обусловлено, в основном, сокращением поставок </w:t>
      </w:r>
      <w:r w:rsidR="001B52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 Республики Беларусь (на 6,1% или на 11,9 млн. долл. США), из Республики Молдова (в 8,1 раза или на 2,2 млн. долл. США),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из Азербайджана (в 12,5 раза или на 1,4 млн. долл. США),</w:t>
      </w:r>
      <w:r w:rsidR="001B52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 Узбекистана (в 1,8 раза или на 1,0 млн. долл. США) и Кыргызстана      (в 1,7 раза или на 0,6 млн. долл. США).</w:t>
      </w:r>
    </w:p>
    <w:p w:rsidR="000B0EFC" w:rsidRDefault="001B5247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B0EFC"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Сальдо торгового баланса сложилось положительное</w:t>
      </w:r>
      <w:r w:rsidR="000B0EFC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0B0EFC"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325,0</w:t>
      </w:r>
      <w:r w:rsidR="000B0EF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B0EFC"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США.</w:t>
      </w:r>
    </w:p>
    <w:p w:rsidR="004714CB" w:rsidRDefault="004714CB" w:rsidP="000B0EFC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EFC" w:rsidRPr="00BA1A6F" w:rsidRDefault="000B0EFC" w:rsidP="000B0EFC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торговые партнеры Воронежской области</w:t>
      </w:r>
    </w:p>
    <w:p w:rsidR="0092371E" w:rsidRDefault="000B0EFC" w:rsidP="00047D3E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Основными торговыми партнерами Воронежской области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январе-</w:t>
      </w:r>
      <w:r w:rsidR="001B5247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декабре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были: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Украина – 17,0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 от всего товарооборота субъекта Российской Федерации (в январе-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декабре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2017 года 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12,3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Республика Беларусь – 9,5%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9,1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%), Китай – 7,8%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5,6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%),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Германия – 6,1%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6,1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Объединённые Арабские Эмираты 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5,5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5,3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%),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Польша – 4,7% </w:t>
      </w:r>
      <w:r w:rsidR="00492C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4,4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%), Египет</w:t>
      </w:r>
      <w:r w:rsidR="00625B5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4,6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1,6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%), Латвия 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3,7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1,3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%),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Нидерланды – 2,8%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1,2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Италия 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– 2,3%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2,1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Казахстан 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2,1</w:t>
      </w:r>
      <w:r w:rsidR="00613820">
        <w:rPr>
          <w:rFonts w:ascii="Times New Roman" w:eastAsia="Times New Roman" w:hAnsi="Times New Roman" w:cs="Times New Roman"/>
          <w:sz w:val="24"/>
          <w:szCs w:val="20"/>
          <w:lang w:eastAsia="ru-RU"/>
        </w:rPr>
        <w:t>%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0,4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%),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Турция – 1,8%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1,9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%), Швейцария – 1,6%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1,0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Алжир –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1,5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>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1,1</w:t>
      </w:r>
      <w:r w:rsidR="00E333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</w:t>
      </w:r>
      <w:r w:rsidR="00047D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Узбекистан – 1,5% (1,5%), 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Чехия – 1,5%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1,3</w:t>
      </w:r>
      <w:r w:rsidR="00047D3E">
        <w:rPr>
          <w:rFonts w:ascii="Times New Roman" w:eastAsia="Times New Roman" w:hAnsi="Times New Roman" w:cs="Times New Roman"/>
          <w:sz w:val="24"/>
          <w:szCs w:val="20"/>
          <w:lang w:eastAsia="ru-RU"/>
        </w:rPr>
        <w:t>%)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, Румыния – 1,4%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2,1</w:t>
      </w:r>
      <w:r w:rsidR="0092371E">
        <w:rPr>
          <w:rFonts w:ascii="Times New Roman" w:eastAsia="Times New Roman" w:hAnsi="Times New Roman" w:cs="Times New Roman"/>
          <w:sz w:val="24"/>
          <w:szCs w:val="20"/>
          <w:lang w:eastAsia="ru-RU"/>
        </w:rPr>
        <w:t>%),</w:t>
      </w:r>
      <w:r w:rsidR="00BD521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Испания – 1,2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0,9</w:t>
      </w:r>
      <w:r w:rsidR="00BD521C">
        <w:rPr>
          <w:rFonts w:ascii="Times New Roman" w:eastAsia="Times New Roman" w:hAnsi="Times New Roman" w:cs="Times New Roman"/>
          <w:sz w:val="24"/>
          <w:szCs w:val="20"/>
          <w:lang w:eastAsia="ru-RU"/>
        </w:rPr>
        <w:t>%), Швеция – 1,2%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0,6</w:t>
      </w:r>
      <w:r w:rsidR="00BD521C">
        <w:rPr>
          <w:rFonts w:ascii="Times New Roman" w:eastAsia="Times New Roman" w:hAnsi="Times New Roman" w:cs="Times New Roman"/>
          <w:sz w:val="24"/>
          <w:szCs w:val="20"/>
          <w:lang w:eastAsia="ru-RU"/>
        </w:rPr>
        <w:t>%), Азербайджан – 1,2% (</w:t>
      </w:r>
      <w:r w:rsidR="00173E66">
        <w:rPr>
          <w:rFonts w:ascii="Times New Roman" w:eastAsia="Times New Roman" w:hAnsi="Times New Roman" w:cs="Times New Roman"/>
          <w:sz w:val="24"/>
          <w:szCs w:val="20"/>
          <w:lang w:eastAsia="ru-RU"/>
        </w:rPr>
        <w:t>1,5</w:t>
      </w:r>
      <w:r w:rsidR="00BD521C">
        <w:rPr>
          <w:rFonts w:ascii="Times New Roman" w:eastAsia="Times New Roman" w:hAnsi="Times New Roman" w:cs="Times New Roman"/>
          <w:sz w:val="24"/>
          <w:szCs w:val="20"/>
          <w:lang w:eastAsia="ru-RU"/>
        </w:rPr>
        <w:t>%).</w:t>
      </w:r>
    </w:p>
    <w:p w:rsidR="0092371E" w:rsidRDefault="0092371E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3820" w:rsidRDefault="00613820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3820" w:rsidRDefault="00613820" w:rsidP="000B0EFC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0EFC" w:rsidRPr="00EB556B" w:rsidRDefault="000B0EFC" w:rsidP="00CC144B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53150" cy="2819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B0EFC" w:rsidRDefault="000B0EF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0EFC" w:rsidRPr="0015630D" w:rsidRDefault="000B0EF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ЭКСПОРТА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0B0EFC" w:rsidRDefault="000B0EFC" w:rsidP="000B0E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53150" cy="43624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92C1C" w:rsidRDefault="00492C1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92C1C" w:rsidRDefault="00492C1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92C1C" w:rsidRDefault="00492C1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92C1C" w:rsidRDefault="00492C1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92C1C" w:rsidRDefault="00492C1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0EFC" w:rsidRDefault="000B0EFC" w:rsidP="000B0EFC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ИМПОРТА Воронежской области</w:t>
      </w:r>
    </w:p>
    <w:p w:rsidR="000B0EFC" w:rsidRDefault="000B0EFC" w:rsidP="000B0EFC">
      <w:pPr>
        <w:tabs>
          <w:tab w:val="left" w:pos="1134"/>
        </w:tabs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448300" cy="4381500"/>
            <wp:effectExtent l="0" t="0" r="0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D7417" w:rsidRDefault="00BD7417"/>
    <w:sectPr w:rsidR="00BD7417" w:rsidSect="00492C1C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AE5" w:rsidRDefault="00657AE5" w:rsidP="00492C1C">
      <w:pPr>
        <w:spacing w:after="0" w:line="240" w:lineRule="auto"/>
      </w:pPr>
      <w:r>
        <w:separator/>
      </w:r>
    </w:p>
  </w:endnote>
  <w:endnote w:type="continuationSeparator" w:id="1">
    <w:p w:rsidR="00657AE5" w:rsidRDefault="00657AE5" w:rsidP="0049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AE5" w:rsidRDefault="00657AE5" w:rsidP="00492C1C">
      <w:pPr>
        <w:spacing w:after="0" w:line="240" w:lineRule="auto"/>
      </w:pPr>
      <w:r>
        <w:separator/>
      </w:r>
    </w:p>
  </w:footnote>
  <w:footnote w:type="continuationSeparator" w:id="1">
    <w:p w:rsidR="00657AE5" w:rsidRDefault="00657AE5" w:rsidP="0049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65069"/>
      <w:docPartObj>
        <w:docPartGallery w:val="Page Numbers (Top of Page)"/>
        <w:docPartUnique/>
      </w:docPartObj>
    </w:sdtPr>
    <w:sdtContent>
      <w:p w:rsidR="00492C1C" w:rsidRDefault="00492C1C">
        <w:pPr>
          <w:pStyle w:val="a5"/>
          <w:jc w:val="center"/>
        </w:pPr>
        <w:fldSimple w:instr=" PAGE   \* MERGEFORMAT ">
          <w:r w:rsidR="004714CB">
            <w:rPr>
              <w:noProof/>
            </w:rPr>
            <w:t>4</w:t>
          </w:r>
        </w:fldSimple>
      </w:p>
    </w:sdtContent>
  </w:sdt>
  <w:p w:rsidR="00492C1C" w:rsidRDefault="00492C1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B0EFC"/>
    <w:rsid w:val="00047D3E"/>
    <w:rsid w:val="0008258B"/>
    <w:rsid w:val="000B0EFC"/>
    <w:rsid w:val="00173E66"/>
    <w:rsid w:val="001B5247"/>
    <w:rsid w:val="0031200B"/>
    <w:rsid w:val="003740F9"/>
    <w:rsid w:val="00434A90"/>
    <w:rsid w:val="004714CB"/>
    <w:rsid w:val="004801FD"/>
    <w:rsid w:val="00492C1C"/>
    <w:rsid w:val="00500F9F"/>
    <w:rsid w:val="00553423"/>
    <w:rsid w:val="00575324"/>
    <w:rsid w:val="005E26CE"/>
    <w:rsid w:val="00613820"/>
    <w:rsid w:val="00621DB5"/>
    <w:rsid w:val="006222E3"/>
    <w:rsid w:val="00625B58"/>
    <w:rsid w:val="00657AE5"/>
    <w:rsid w:val="006E4A4E"/>
    <w:rsid w:val="00710B15"/>
    <w:rsid w:val="0075259E"/>
    <w:rsid w:val="0092371E"/>
    <w:rsid w:val="00975EAF"/>
    <w:rsid w:val="00977F24"/>
    <w:rsid w:val="00980846"/>
    <w:rsid w:val="009B1610"/>
    <w:rsid w:val="009B1C22"/>
    <w:rsid w:val="009B6F40"/>
    <w:rsid w:val="00B15DC7"/>
    <w:rsid w:val="00BA1A6F"/>
    <w:rsid w:val="00BD521C"/>
    <w:rsid w:val="00BD7417"/>
    <w:rsid w:val="00CC144B"/>
    <w:rsid w:val="00D16366"/>
    <w:rsid w:val="00D46B3D"/>
    <w:rsid w:val="00E333B5"/>
    <w:rsid w:val="00EF6000"/>
    <w:rsid w:val="00F5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E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9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2C1C"/>
  </w:style>
  <w:style w:type="paragraph" w:styleId="a7">
    <w:name w:val="footer"/>
    <w:basedOn w:val="a"/>
    <w:link w:val="a8"/>
    <w:uiPriority w:val="99"/>
    <w:semiHidden/>
    <w:unhideWhenUsed/>
    <w:rsid w:val="0049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2C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7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sideWall>
      <c:spPr>
        <a:noFill/>
        <a:ln w="25400">
          <a:noFill/>
        </a:ln>
      </c:spPr>
    </c:sideWall>
    <c:backWall>
      <c:spPr>
        <a:noFill/>
      </c:spPr>
    </c:backWall>
    <c:plotArea>
      <c:layout>
        <c:manualLayout>
          <c:layoutTarget val="inner"/>
          <c:xMode val="edge"/>
          <c:yMode val="edge"/>
          <c:x val="0.11448087501566361"/>
          <c:y val="7.0276242805633438E-2"/>
          <c:w val="0.8710262799428552"/>
          <c:h val="0.58273895568669509"/>
        </c:manualLayout>
      </c:layout>
      <c:bar3DChart>
        <c:barDir val="col"/>
        <c:grouping val="clustered"/>
        <c:ser>
          <c:idx val="2"/>
          <c:order val="0"/>
          <c:tx>
            <c:strRef>
              <c:f>график!$D$2</c:f>
              <c:strCache>
                <c:ptCount val="1"/>
                <c:pt idx="0">
                  <c:v>Оборот</c:v>
                </c:pt>
              </c:strCache>
            </c:strRef>
          </c:tx>
          <c:spPr>
            <a:gradFill flip="none" rotWithShape="1">
              <a:gsLst>
                <a:gs pos="0">
                  <a:srgbClr val="DDEBCF">
                    <a:lumMod val="8000"/>
                    <a:lumOff val="92000"/>
                  </a:srgbClr>
                </a:gs>
                <a:gs pos="50000">
                  <a:srgbClr val="9CB86E"/>
                </a:gs>
                <a:gs pos="100000">
                  <a:srgbClr val="156B13"/>
                </a:gs>
              </a:gsLst>
              <a:path path="shape">
                <a:fillToRect l="50000" t="50000" r="50000" b="50000"/>
              </a:path>
              <a:tileRect/>
            </a:gradFill>
            <a:ln>
              <a:noFill/>
            </a:ln>
            <a:scene3d>
              <a:camera prst="orthographicFront"/>
              <a:lightRig rig="morning" dir="t"/>
            </a:scene3d>
            <a:sp3d prstMaterial="dkEdge"/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ОБЪЕДИНЁННЫЕ АРАБСКИЕ ЭМИРАТЫ</c:v>
                </c:pt>
                <c:pt idx="5">
                  <c:v>ПОЛЬША</c:v>
                </c:pt>
                <c:pt idx="6">
                  <c:v>ЕГИПЕТ</c:v>
                </c:pt>
                <c:pt idx="7">
                  <c:v>ЛАТВИЯ</c:v>
                </c:pt>
                <c:pt idx="8">
                  <c:v>НИДЕРЛАНДЫ</c:v>
                </c:pt>
                <c:pt idx="9">
                  <c:v>ИТАЛИЯ</c:v>
                </c:pt>
              </c:strCache>
            </c:strRef>
          </c:cat>
          <c:val>
            <c:numRef>
              <c:f>график!$D$5:$D$14</c:f>
              <c:numCache>
                <c:formatCode>#,##0</c:formatCode>
                <c:ptCount val="10"/>
                <c:pt idx="0">
                  <c:v>425160.6</c:v>
                </c:pt>
                <c:pt idx="1">
                  <c:v>236194</c:v>
                </c:pt>
                <c:pt idx="2">
                  <c:v>193982.2</c:v>
                </c:pt>
                <c:pt idx="3">
                  <c:v>153694.29999999999</c:v>
                </c:pt>
                <c:pt idx="4">
                  <c:v>137713.9</c:v>
                </c:pt>
                <c:pt idx="5">
                  <c:v>117001.9</c:v>
                </c:pt>
                <c:pt idx="6">
                  <c:v>115292.3</c:v>
                </c:pt>
                <c:pt idx="7">
                  <c:v>93879</c:v>
                </c:pt>
                <c:pt idx="8">
                  <c:v>68907.899999999994</c:v>
                </c:pt>
                <c:pt idx="9">
                  <c:v>57976.7</c:v>
                </c:pt>
              </c:numCache>
            </c:numRef>
          </c:val>
        </c:ser>
        <c:ser>
          <c:idx val="0"/>
          <c:order val="1"/>
          <c:tx>
            <c:strRef>
              <c:f>график!$B$2</c:f>
              <c:strCache>
                <c:ptCount val="1"/>
                <c:pt idx="0">
                  <c:v>Экспорт</c:v>
                </c:pt>
              </c:strCache>
            </c:strRef>
          </c:tx>
          <c:spPr>
            <a:gradFill flip="none" rotWithShape="1">
              <a:gsLst>
                <a:gs pos="0">
                  <a:srgbClr val="000082"/>
                </a:gs>
                <a:gs pos="52000">
                  <a:srgbClr val="0047FF"/>
                </a:gs>
                <a:gs pos="100000">
                  <a:srgbClr val="0047FF"/>
                </a:gs>
              </a:gsLst>
              <a:lin ang="2700000" scaled="1"/>
              <a:tileRect/>
            </a:gradFill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ОБЪЕДИНЁННЫЕ АРАБСКИЕ ЭМИРАТЫ</c:v>
                </c:pt>
                <c:pt idx="5">
                  <c:v>ПОЛЬША</c:v>
                </c:pt>
                <c:pt idx="6">
                  <c:v>ЕГИПЕТ</c:v>
                </c:pt>
                <c:pt idx="7">
                  <c:v>ЛАТВИЯ</c:v>
                </c:pt>
                <c:pt idx="8">
                  <c:v>НИДЕРЛАНДЫ</c:v>
                </c:pt>
                <c:pt idx="9">
                  <c:v>ИТАЛИЯ</c:v>
                </c:pt>
              </c:strCache>
            </c:strRef>
          </c:cat>
          <c:val>
            <c:numRef>
              <c:f>график!$B$5:$B$14</c:f>
              <c:numCache>
                <c:formatCode>#,##0</c:formatCode>
                <c:ptCount val="10"/>
                <c:pt idx="0">
                  <c:v>372287.4</c:v>
                </c:pt>
                <c:pt idx="1">
                  <c:v>52584.6</c:v>
                </c:pt>
                <c:pt idx="2">
                  <c:v>7759.1</c:v>
                </c:pt>
                <c:pt idx="3">
                  <c:v>40004.400000000001</c:v>
                </c:pt>
                <c:pt idx="4">
                  <c:v>137708.5</c:v>
                </c:pt>
                <c:pt idx="5">
                  <c:v>62537</c:v>
                </c:pt>
                <c:pt idx="6">
                  <c:v>114999.1</c:v>
                </c:pt>
                <c:pt idx="7">
                  <c:v>91893.1</c:v>
                </c:pt>
                <c:pt idx="8">
                  <c:v>28363.1</c:v>
                </c:pt>
                <c:pt idx="9">
                  <c:v>7885.5</c:v>
                </c:pt>
              </c:numCache>
            </c:numRef>
          </c:val>
        </c:ser>
        <c:ser>
          <c:idx val="1"/>
          <c:order val="2"/>
          <c:tx>
            <c:strRef>
              <c:f>график!$C$2</c:f>
              <c:strCache>
                <c:ptCount val="1"/>
                <c:pt idx="0">
                  <c:v>Импорт</c:v>
                </c:pt>
              </c:strCache>
            </c:strRef>
          </c:tx>
          <c:spPr>
            <a:gradFill flip="none" rotWithShape="1">
              <a:gsLst>
                <a:gs pos="0">
                  <a:srgbClr val="FFF200"/>
                </a:gs>
                <a:gs pos="81000">
                  <a:srgbClr val="FF0300"/>
                </a:gs>
                <a:gs pos="100000">
                  <a:srgbClr val="4D0808"/>
                </a:gs>
              </a:gsLst>
              <a:lin ang="2700000" scaled="1"/>
              <a:tileRect/>
            </a:gradFill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ОБЪЕДИНЁННЫЕ АРАБСКИЕ ЭМИРАТЫ</c:v>
                </c:pt>
                <c:pt idx="5">
                  <c:v>ПОЛЬША</c:v>
                </c:pt>
                <c:pt idx="6">
                  <c:v>ЕГИПЕТ</c:v>
                </c:pt>
                <c:pt idx="7">
                  <c:v>ЛАТВИЯ</c:v>
                </c:pt>
                <c:pt idx="8">
                  <c:v>НИДЕРЛАНДЫ</c:v>
                </c:pt>
                <c:pt idx="9">
                  <c:v>ИТАЛИЯ</c:v>
                </c:pt>
              </c:strCache>
            </c:strRef>
          </c:cat>
          <c:val>
            <c:numRef>
              <c:f>график!$C$5:$C$14</c:f>
              <c:numCache>
                <c:formatCode>#,##0</c:formatCode>
                <c:ptCount val="10"/>
                <c:pt idx="0">
                  <c:v>52873.2</c:v>
                </c:pt>
                <c:pt idx="1">
                  <c:v>183609.4</c:v>
                </c:pt>
                <c:pt idx="2">
                  <c:v>186223.1</c:v>
                </c:pt>
                <c:pt idx="3">
                  <c:v>113689.9</c:v>
                </c:pt>
                <c:pt idx="4">
                  <c:v>5.4</c:v>
                </c:pt>
                <c:pt idx="5">
                  <c:v>54464.9</c:v>
                </c:pt>
                <c:pt idx="6">
                  <c:v>293.2</c:v>
                </c:pt>
                <c:pt idx="7">
                  <c:v>1985.9</c:v>
                </c:pt>
                <c:pt idx="8">
                  <c:v>40544.800000000003</c:v>
                </c:pt>
                <c:pt idx="9">
                  <c:v>50091.199999999997</c:v>
                </c:pt>
              </c:numCache>
            </c:numRef>
          </c:val>
        </c:ser>
        <c:gapWidth val="70"/>
        <c:gapDepth val="102"/>
        <c:shape val="cylinder"/>
        <c:axId val="109906176"/>
        <c:axId val="112185344"/>
        <c:axId val="0"/>
      </c:bar3DChart>
      <c:catAx>
        <c:axId val="109906176"/>
        <c:scaling>
          <c:orientation val="minMax"/>
        </c:scaling>
        <c:axPos val="b"/>
        <c:tickLblPos val="nextTo"/>
        <c:spPr>
          <a:noFill/>
        </c:spPr>
        <c:txPr>
          <a:bodyPr/>
          <a:lstStyle/>
          <a:p>
            <a:pPr>
              <a:defRPr sz="800" baseline="0"/>
            </a:pPr>
            <a:endParaRPr lang="ru-RU"/>
          </a:p>
        </c:txPr>
        <c:crossAx val="112185344"/>
        <c:crosses val="autoZero"/>
        <c:auto val="1"/>
        <c:lblAlgn val="ctr"/>
        <c:lblOffset val="100"/>
      </c:catAx>
      <c:valAx>
        <c:axId val="112185344"/>
        <c:scaling>
          <c:orientation val="minMax"/>
          <c:max val="500000"/>
        </c:scaling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ru-RU" sz="1100"/>
                  <a:t>тыс. долларов США</a:t>
                </a:r>
              </a:p>
            </c:rich>
          </c:tx>
          <c:layout>
            <c:manualLayout>
              <c:xMode val="edge"/>
              <c:yMode val="edge"/>
              <c:x val="5.4262430370952113E-3"/>
              <c:y val="0.17824622883678062"/>
            </c:manualLayout>
          </c:layout>
        </c:title>
        <c:numFmt formatCode="#,##0" sourceLinked="1"/>
        <c:tickLblPos val="nextTo"/>
        <c:crossAx val="109906176"/>
        <c:crosses val="autoZero"/>
        <c:crossBetween val="between"/>
      </c:valAx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22094659053694307"/>
          <c:y val="1.1665366984586499E-2"/>
          <c:w val="0.66317564734788315"/>
          <c:h val="0.97926894167877265"/>
        </c:manualLayout>
      </c:layout>
      <c:pieChart>
        <c:varyColors val="1"/>
        <c:ser>
          <c:idx val="0"/>
          <c:order val="0"/>
          <c:explosion val="3"/>
          <c:dPt>
            <c:idx val="1"/>
            <c:explosion val="2"/>
          </c:dPt>
          <c:dPt>
            <c:idx val="2"/>
            <c:explosion val="0"/>
          </c:dPt>
          <c:dPt>
            <c:idx val="3"/>
            <c:explosion val="0"/>
          </c:dPt>
          <c:dPt>
            <c:idx val="4"/>
            <c:explosion val="0"/>
          </c:dPt>
          <c:dLbls>
            <c:dLbl>
              <c:idx val="0"/>
              <c:layout>
                <c:manualLayout>
                  <c:x val="-0.22302591922845044"/>
                  <c:y val="0.20768436835217291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1"/>
              <c:layout>
                <c:manualLayout>
                  <c:x val="-2.3869562744285443E-2"/>
                  <c:y val="-0.23438664053456201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2"/>
              <c:layout>
                <c:manualLayout>
                  <c:x val="6.1919504643962852E-3"/>
                  <c:y val="0"/>
                </c:manualLayout>
              </c:layout>
              <c:dLblPos val="outEnd"/>
              <c:showLegendKey val="1"/>
              <c:showCatName val="1"/>
            </c:dLbl>
            <c:dLbl>
              <c:idx val="4"/>
              <c:layout>
                <c:manualLayout>
                  <c:x val="6.0277275467148887E-3"/>
                  <c:y val="-3.2636115026770253E-2"/>
                </c:manualLayout>
              </c:layout>
              <c:dLblPos val="bestFit"/>
              <c:showLegendKey val="1"/>
              <c:showCatName val="1"/>
            </c:dLbl>
            <c:dLblPos val="outEnd"/>
            <c:showLegendKey val="1"/>
            <c:showCatName val="1"/>
          </c:dLbls>
          <c:cat>
            <c:strRef>
              <c:f>Экспорт!$D$17:$D$22</c:f>
              <c:strCache>
                <c:ptCount val="5"/>
                <c:pt idx="0">
                  <c:v>Продукция химической промышленности, каучук - 51,6%</c:v>
                </c:pt>
                <c:pt idx="1">
                  <c:v>Продовольственные товары и сырье - 37,4%</c:v>
                </c:pt>
                <c:pt idx="2">
                  <c:v>Машиностроительная продукция - 7,8%</c:v>
                </c:pt>
                <c:pt idx="3">
                  <c:v>Минеральные продукты - 2,1%</c:v>
                </c:pt>
                <c:pt idx="4">
                  <c:v>Прочие товары - 1,3%</c:v>
                </c:pt>
              </c:strCache>
            </c:strRef>
          </c:cat>
          <c:val>
            <c:numRef>
              <c:f>Экспорт!$E$17:$E$21</c:f>
              <c:numCache>
                <c:formatCode>General</c:formatCode>
                <c:ptCount val="5"/>
                <c:pt idx="0">
                  <c:v>51.6</c:v>
                </c:pt>
                <c:pt idx="1">
                  <c:v>37.4</c:v>
                </c:pt>
                <c:pt idx="2">
                  <c:v>7.8</c:v>
                </c:pt>
                <c:pt idx="3">
                  <c:v>2.1</c:v>
                </c:pt>
                <c:pt idx="4">
                  <c:v>1.3</c:v>
                </c:pt>
              </c:numCache>
            </c:numRef>
          </c:val>
        </c:ser>
        <c:dLbls>
          <c:showVal val="1"/>
        </c:dLbls>
        <c:firstSliceAng val="286"/>
      </c:pie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23270924883498667"/>
          <c:y val="6.2067860955385745E-2"/>
          <c:w val="0.6776538089545675"/>
          <c:h val="0.85192519495131525"/>
        </c:manualLayout>
      </c:layout>
      <c:pieChart>
        <c:varyColors val="1"/>
        <c:ser>
          <c:idx val="0"/>
          <c:order val="0"/>
          <c:dPt>
            <c:idx val="0"/>
            <c:explosion val="4"/>
          </c:dPt>
          <c:dLbls>
            <c:dLbl>
              <c:idx val="0"/>
              <c:layout>
                <c:manualLayout>
                  <c:x val="-0.18055385628471418"/>
                  <c:y val="0.15685075984975397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1"/>
              <c:layout>
                <c:manualLayout>
                  <c:x val="-0.19358717398087477"/>
                  <c:y val="-0.25874152687435809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Pos val="outEnd"/>
            <c:showLegendKey val="1"/>
            <c:showCatName val="1"/>
          </c:dLbls>
          <c:cat>
            <c:strRef>
              <c:f>Импорт!$D$17:$D$21</c:f>
              <c:strCache>
                <c:ptCount val="5"/>
                <c:pt idx="0">
                  <c:v> Машиностроительная продукция - 40,2%</c:v>
                </c:pt>
                <c:pt idx="1">
                  <c:v> Продовольственные товары и сырье - 24,5%</c:v>
                </c:pt>
                <c:pt idx="2">
                  <c:v> Металлы и изделия из них - 12,0%</c:v>
                </c:pt>
                <c:pt idx="3">
                  <c:v> Продукция химической промышленности, каучук - 10,7%</c:v>
                </c:pt>
                <c:pt idx="4">
                  <c:v> Прочие товары - 6,1%</c:v>
                </c:pt>
              </c:strCache>
            </c:strRef>
          </c:cat>
          <c:val>
            <c:numRef>
              <c:f>Импорт!$E$17:$E$21</c:f>
              <c:numCache>
                <c:formatCode>0.0</c:formatCode>
                <c:ptCount val="5"/>
                <c:pt idx="0">
                  <c:v>40.200000000000003</c:v>
                </c:pt>
                <c:pt idx="1">
                  <c:v>24.5</c:v>
                </c:pt>
                <c:pt idx="2">
                  <c:v>12</c:v>
                </c:pt>
                <c:pt idx="3">
                  <c:v>10.7</c:v>
                </c:pt>
                <c:pt idx="4">
                  <c:v>6.1</c:v>
                </c:pt>
              </c:numCache>
            </c:numRef>
          </c:val>
        </c:ser>
        <c:dLbls>
          <c:showVal val="1"/>
        </c:dLbls>
        <c:firstSliceAng val="320"/>
      </c:pie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imahovskiy</dc:creator>
  <cp:lastModifiedBy>imahovskiy</cp:lastModifiedBy>
  <cp:revision>14</cp:revision>
  <cp:lastPrinted>2019-02-15T08:33:00Z</cp:lastPrinted>
  <dcterms:created xsi:type="dcterms:W3CDTF">2019-02-14T09:54:00Z</dcterms:created>
  <dcterms:modified xsi:type="dcterms:W3CDTF">2019-02-15T11:49:00Z</dcterms:modified>
</cp:coreProperties>
</file>